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BF461">
      <w:pPr>
        <w:wordWrap w:val="0"/>
        <w:spacing w:line="440" w:lineRule="exact"/>
        <w:jc w:val="center"/>
        <w:rPr>
          <w:rFonts w:hint="default" w:ascii="黑体" w:hAnsi="黑体" w:eastAsia="黑体"/>
          <w:bCs/>
          <w:kern w:val="0"/>
          <w:szCs w:val="21"/>
          <w:lang w:val="en-US" w:eastAsia="zh-CN"/>
        </w:rPr>
      </w:pPr>
      <w:r>
        <w:rPr>
          <w:rFonts w:ascii="黑体" w:hAnsi="黑体" w:eastAsia="黑体"/>
          <w:bCs/>
          <w:kern w:val="0"/>
          <w:szCs w:val="21"/>
        </w:rPr>
        <w:t xml:space="preserve">证券代码：002042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证券简称：华孚时尚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公告编号：2</w:t>
      </w:r>
      <w:r>
        <w:rPr>
          <w:rFonts w:hint="eastAsia" w:ascii="黑体" w:hAnsi="黑体" w:eastAsia="黑体"/>
          <w:bCs/>
          <w:kern w:val="0"/>
          <w:szCs w:val="21"/>
        </w:rPr>
        <w:t>024-</w:t>
      </w:r>
      <w:r>
        <w:rPr>
          <w:rFonts w:hint="eastAsia" w:ascii="黑体" w:hAnsi="黑体" w:eastAsia="黑体"/>
          <w:bCs/>
          <w:kern w:val="0"/>
          <w:szCs w:val="21"/>
          <w:lang w:val="en-US" w:eastAsia="zh-CN"/>
        </w:rPr>
        <w:t>58</w:t>
      </w:r>
    </w:p>
    <w:p w14:paraId="3D520575">
      <w:pPr>
        <w:wordWrap w:val="0"/>
        <w:autoSpaceDE w:val="0"/>
        <w:autoSpaceDN w:val="0"/>
        <w:adjustRightInd w:val="0"/>
        <w:jc w:val="center"/>
        <w:rPr>
          <w:rFonts w:ascii="Times New Roman" w:hAnsi="Times New Roman"/>
          <w:kern w:val="0"/>
          <w:sz w:val="24"/>
          <w:szCs w:val="36"/>
        </w:rPr>
      </w:pPr>
    </w:p>
    <w:p w14:paraId="5E46A909">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华孚时尚股份有限公司</w:t>
      </w:r>
    </w:p>
    <w:p w14:paraId="4412B29D">
      <w:pPr>
        <w:wordWrap w:val="0"/>
        <w:autoSpaceDE w:val="0"/>
        <w:autoSpaceDN w:val="0"/>
        <w:adjustRightInd w:val="0"/>
        <w:jc w:val="center"/>
        <w:rPr>
          <w:rFonts w:ascii="Times New Roman" w:hAnsi="Times New Roman"/>
          <w:b/>
          <w:kern w:val="0"/>
          <w:sz w:val="36"/>
          <w:szCs w:val="36"/>
        </w:rPr>
      </w:pPr>
      <w:r>
        <w:rPr>
          <w:rFonts w:hint="eastAsia" w:ascii="Times New Roman" w:hAnsi="Times New Roman"/>
          <w:b/>
          <w:kern w:val="0"/>
          <w:sz w:val="36"/>
          <w:szCs w:val="36"/>
          <w:lang w:eastAsia="zh-CN"/>
        </w:rPr>
        <w:t>关于控股股东协议转让部分股份进展</w:t>
      </w:r>
      <w:bookmarkStart w:id="0" w:name="_GoBack"/>
      <w:bookmarkEnd w:id="0"/>
      <w:r>
        <w:rPr>
          <w:rFonts w:hint="eastAsia" w:ascii="Times New Roman" w:hAnsi="Times New Roman"/>
          <w:b/>
          <w:kern w:val="0"/>
          <w:sz w:val="36"/>
          <w:szCs w:val="36"/>
          <w:lang w:eastAsia="zh-CN"/>
        </w:rPr>
        <w:t>的</w:t>
      </w:r>
      <w:r>
        <w:rPr>
          <w:rFonts w:ascii="Times New Roman" w:hAnsi="Times New Roman"/>
          <w:b/>
          <w:kern w:val="0"/>
          <w:sz w:val="36"/>
          <w:szCs w:val="36"/>
        </w:rPr>
        <w:t>公告</w:t>
      </w:r>
    </w:p>
    <w:p w14:paraId="2C0486CF">
      <w:pPr>
        <w:wordWrap w:val="0"/>
        <w:autoSpaceDE w:val="0"/>
        <w:autoSpaceDN w:val="0"/>
        <w:adjustRightInd w:val="0"/>
        <w:ind w:firstLine="480" w:firstLineChars="200"/>
        <w:jc w:val="left"/>
        <w:rPr>
          <w:rFonts w:ascii="Times New Roman" w:hAnsi="Times New Roman" w:eastAsia="楷体_GB2312"/>
          <w:kern w:val="0"/>
          <w:sz w:val="24"/>
          <w:szCs w:val="24"/>
        </w:rPr>
      </w:pPr>
    </w:p>
    <w:p w14:paraId="1642124E">
      <w:pPr>
        <w:wordWrap w:val="0"/>
        <w:autoSpaceDE w:val="0"/>
        <w:autoSpaceDN w:val="0"/>
        <w:adjustRightInd w:val="0"/>
        <w:ind w:firstLine="480" w:firstLineChars="200"/>
        <w:jc w:val="left"/>
        <w:rPr>
          <w:rFonts w:ascii="楷体" w:hAnsi="楷体" w:eastAsia="楷体"/>
          <w:kern w:val="0"/>
          <w:sz w:val="24"/>
          <w:szCs w:val="24"/>
        </w:rPr>
      </w:pPr>
      <w:r>
        <w:rPr>
          <w:rFonts w:ascii="楷体" w:hAnsi="楷体" w:eastAsia="楷体"/>
          <w:kern w:val="0"/>
          <w:sz w:val="24"/>
          <w:szCs w:val="24"/>
        </w:rPr>
        <w:t>本公司及</w:t>
      </w:r>
      <w:r>
        <w:rPr>
          <w:rFonts w:hint="eastAsia" w:ascii="楷体" w:hAnsi="楷体" w:eastAsia="楷体"/>
          <w:kern w:val="0"/>
          <w:sz w:val="24"/>
          <w:szCs w:val="24"/>
        </w:rPr>
        <w:t>董</w:t>
      </w:r>
      <w:r>
        <w:rPr>
          <w:rFonts w:ascii="楷体" w:hAnsi="楷体" w:eastAsia="楷体"/>
          <w:kern w:val="0"/>
          <w:sz w:val="24"/>
          <w:szCs w:val="24"/>
        </w:rPr>
        <w:t>事会全体成员保证信息披露的内容真实、准确、完整，没有虚假记载、误导性陈述或重大遗漏。</w:t>
      </w:r>
    </w:p>
    <w:p w14:paraId="2B05E96D">
      <w:pPr>
        <w:wordWrap w:val="0"/>
        <w:spacing w:line="280" w:lineRule="exact"/>
        <w:ind w:firstLine="39" w:firstLineChars="196"/>
        <w:rPr>
          <w:rFonts w:asciiTheme="minorEastAsia" w:hAnsiTheme="minorEastAsia" w:eastAsiaTheme="minorEastAsia"/>
          <w:kern w:val="0"/>
          <w:sz w:val="2"/>
          <w:szCs w:val="24"/>
        </w:rPr>
      </w:pPr>
    </w:p>
    <w:p w14:paraId="30D2EAB2">
      <w:pPr>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Theme="minorEastAsia" w:hAnsiTheme="minorEastAsia" w:eastAsiaTheme="minorEastAsia"/>
          <w:b/>
          <w:bCs/>
          <w:kern w:val="0"/>
          <w:sz w:val="24"/>
          <w:szCs w:val="24"/>
          <w:lang w:eastAsia="zh-CN"/>
        </w:rPr>
      </w:pPr>
      <w:r>
        <w:rPr>
          <w:rFonts w:hint="eastAsia" w:asciiTheme="minorEastAsia" w:hAnsiTheme="minorEastAsia" w:eastAsiaTheme="minorEastAsia"/>
          <w:b/>
          <w:bCs/>
          <w:kern w:val="0"/>
          <w:sz w:val="24"/>
          <w:szCs w:val="24"/>
          <w:lang w:eastAsia="zh-CN"/>
        </w:rPr>
        <w:t>一、本次协议转让的基本情况</w:t>
      </w:r>
    </w:p>
    <w:p w14:paraId="6AAAE4B0">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cs="宋体"/>
          <w:sz w:val="24"/>
          <w:szCs w:val="24"/>
          <w:lang w:eastAsia="zh-CN"/>
        </w:rPr>
      </w:pPr>
      <w:r>
        <w:rPr>
          <w:rFonts w:hint="eastAsia" w:asciiTheme="minorEastAsia" w:hAnsiTheme="minorEastAsia" w:eastAsiaTheme="minorEastAsia"/>
          <w:kern w:val="0"/>
          <w:sz w:val="24"/>
          <w:szCs w:val="24"/>
        </w:rPr>
        <w:t>华孚时尚股份有限公司（以下简称“公司”）</w:t>
      </w:r>
      <w:r>
        <w:rPr>
          <w:rFonts w:hint="eastAsia" w:ascii="宋体" w:hAnsi="宋体" w:eastAsia="宋体" w:cs="宋体"/>
          <w:sz w:val="24"/>
          <w:szCs w:val="24"/>
        </w:rPr>
        <w:t>控股股东华孚控股有限公司（以下简称“华孚控股”）与</w:t>
      </w:r>
      <w:r>
        <w:rPr>
          <w:rFonts w:hint="eastAsia" w:asciiTheme="minorEastAsia" w:hAnsiTheme="minorEastAsia"/>
          <w:sz w:val="24"/>
          <w:szCs w:val="24"/>
        </w:rPr>
        <w:t>杭州兴健私募基金管理有限公司（代表“兴健青龙私募证券投资基金”）</w:t>
      </w:r>
      <w:r>
        <w:rPr>
          <w:rFonts w:hint="eastAsia" w:ascii="宋体" w:hAnsi="宋体" w:eastAsia="宋体" w:cs="宋体"/>
          <w:sz w:val="24"/>
          <w:szCs w:val="24"/>
        </w:rPr>
        <w:t>（简称“兴健青龙基金”或“受让方”）</w:t>
      </w:r>
      <w:r>
        <w:rPr>
          <w:rFonts w:hint="eastAsia" w:ascii="宋体" w:hAnsi="宋体" w:cs="宋体"/>
          <w:sz w:val="24"/>
          <w:szCs w:val="24"/>
          <w:lang w:eastAsia="zh-CN"/>
        </w:rPr>
        <w:t>于</w:t>
      </w:r>
      <w:r>
        <w:rPr>
          <w:rFonts w:hint="eastAsia" w:ascii="宋体" w:hAnsi="宋体" w:cs="宋体"/>
          <w:sz w:val="24"/>
          <w:szCs w:val="24"/>
          <w:lang w:val="en-US" w:eastAsia="zh-CN"/>
        </w:rPr>
        <w:t>2024年9月27日</w:t>
      </w:r>
      <w:r>
        <w:rPr>
          <w:rFonts w:hint="eastAsia" w:ascii="宋体" w:hAnsi="宋体" w:eastAsia="宋体" w:cs="宋体"/>
          <w:sz w:val="24"/>
          <w:szCs w:val="24"/>
        </w:rPr>
        <w:t>签署了《股份转让协议》，拟通过协议转让方式将其持有的公司</w:t>
      </w:r>
      <w:r>
        <w:rPr>
          <w:rFonts w:hint="eastAsia" w:asciiTheme="minorEastAsia" w:hAnsiTheme="minorEastAsia"/>
          <w:sz w:val="24"/>
          <w:szCs w:val="24"/>
        </w:rPr>
        <w:t>100,340,200</w:t>
      </w:r>
      <w:r>
        <w:rPr>
          <w:rFonts w:hint="eastAsia" w:ascii="宋体" w:hAnsi="宋体" w:eastAsia="宋体" w:cs="宋体"/>
          <w:sz w:val="24"/>
          <w:szCs w:val="24"/>
        </w:rPr>
        <w:t>股无限售流通股份（占公司总股本的5.90%）以3.42元/股的价格转让给受让方，转让价款为343,163,484</w:t>
      </w:r>
      <w:r>
        <w:rPr>
          <w:rFonts w:hint="eastAsia" w:asciiTheme="minorEastAsia" w:hAnsiTheme="minorEastAsia"/>
          <w:sz w:val="24"/>
          <w:szCs w:val="24"/>
        </w:rPr>
        <w:t>元人民币</w:t>
      </w:r>
      <w:r>
        <w:rPr>
          <w:rFonts w:hint="eastAsia" w:ascii="宋体" w:hAnsi="宋体" w:eastAsia="宋体" w:cs="宋体"/>
          <w:sz w:val="24"/>
          <w:szCs w:val="24"/>
        </w:rPr>
        <w:t>。</w:t>
      </w:r>
      <w:r>
        <w:rPr>
          <w:rFonts w:hint="eastAsia" w:ascii="宋体" w:hAnsi="宋体" w:cs="宋体"/>
          <w:sz w:val="24"/>
          <w:szCs w:val="24"/>
          <w:lang w:eastAsia="zh-CN"/>
        </w:rPr>
        <w:t>详见公司于</w:t>
      </w:r>
      <w:r>
        <w:rPr>
          <w:rFonts w:hint="eastAsia" w:ascii="宋体" w:hAnsi="宋体" w:cs="宋体"/>
          <w:sz w:val="24"/>
          <w:szCs w:val="24"/>
          <w:lang w:val="en-US" w:eastAsia="zh-CN"/>
        </w:rPr>
        <w:t>2024年9月28日于</w:t>
      </w:r>
      <w:r>
        <w:rPr>
          <w:rFonts w:hint="eastAsia" w:ascii="宋体" w:hAnsi="宋体" w:cs="宋体"/>
          <w:sz w:val="24"/>
          <w:szCs w:val="24"/>
          <w:lang w:eastAsia="zh-CN"/>
        </w:rPr>
        <w:t>《证券时报》、《中国证券报》以及巨潮资讯网发布的《关于控股股东拟协议转让部分股份暨权益变动的提示性公告》（</w:t>
      </w:r>
      <w:r>
        <w:rPr>
          <w:rFonts w:hint="eastAsia" w:ascii="宋体" w:hAnsi="宋体" w:cs="宋体"/>
          <w:sz w:val="24"/>
          <w:szCs w:val="24"/>
          <w:lang w:val="en-US" w:eastAsia="zh-CN"/>
        </w:rPr>
        <w:t>2024-51</w:t>
      </w:r>
      <w:r>
        <w:rPr>
          <w:rFonts w:hint="eastAsia" w:ascii="宋体" w:hAnsi="宋体" w:cs="宋体"/>
          <w:sz w:val="24"/>
          <w:szCs w:val="24"/>
          <w:lang w:eastAsia="zh-CN"/>
        </w:rPr>
        <w:t>）。</w:t>
      </w:r>
    </w:p>
    <w:p w14:paraId="35BCF9BD">
      <w:pPr>
        <w:keepNext w:val="0"/>
        <w:keepLines w:val="0"/>
        <w:pageBreakBefore w:val="0"/>
        <w:widowControl w:val="0"/>
        <w:numPr>
          <w:ilvl w:val="0"/>
          <w:numId w:val="1"/>
        </w:numPr>
        <w:kinsoku/>
        <w:wordWrap/>
        <w:overflowPunct/>
        <w:topLinePunct w:val="0"/>
        <w:bidi w:val="0"/>
        <w:snapToGrid/>
        <w:spacing w:line="360" w:lineRule="auto"/>
        <w:ind w:firstLine="482" w:firstLineChars="200"/>
        <w:jc w:val="both"/>
        <w:textAlignment w:val="auto"/>
        <w:rPr>
          <w:rFonts w:hint="eastAsia" w:asciiTheme="minorEastAsia" w:hAnsiTheme="minorEastAsia" w:eastAsiaTheme="minorEastAsia"/>
          <w:b/>
          <w:bCs/>
          <w:kern w:val="0"/>
          <w:sz w:val="24"/>
          <w:szCs w:val="24"/>
          <w:lang w:eastAsia="zh-CN"/>
        </w:rPr>
      </w:pPr>
      <w:r>
        <w:rPr>
          <w:rFonts w:hint="eastAsia" w:asciiTheme="minorEastAsia" w:hAnsiTheme="minorEastAsia" w:eastAsiaTheme="minorEastAsia"/>
          <w:b/>
          <w:bCs/>
          <w:kern w:val="0"/>
          <w:sz w:val="24"/>
          <w:szCs w:val="24"/>
          <w:lang w:eastAsia="zh-CN"/>
        </w:rPr>
        <w:t>本次协议转让进展即补充协议内容</w:t>
      </w:r>
    </w:p>
    <w:p w14:paraId="2B4961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2024年11月12日，华孚控股与兴健青龙基金签署了《股份转让协议补充协议》，补充协议内容主要如下：</w:t>
      </w:r>
    </w:p>
    <w:p w14:paraId="0A8745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（一）变更内容</w:t>
      </w:r>
    </w:p>
    <w:p w14:paraId="6366AB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原条款“第二条 付款与股份过户”之“2.4 双方同意：</w:t>
      </w:r>
    </w:p>
    <w:p w14:paraId="66FEEA61">
      <w:pPr>
        <w:pStyle w:val="15"/>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（1）自协议签署完毕之日起</w:t>
      </w:r>
      <w:r>
        <w:rPr>
          <w:rFonts w:hint="eastAsia" w:asciiTheme="minorEastAsia" w:hAnsiTheme="minorEastAsia" w:eastAsiaTheme="minorEastAsia"/>
          <w:sz w:val="24"/>
          <w:szCs w:val="24"/>
          <w:highlight w:val="none"/>
        </w:rPr>
        <w:t>【5】</w:t>
      </w:r>
      <w:r>
        <w:rPr>
          <w:rFonts w:asciiTheme="minorEastAsia" w:hAnsiTheme="minorEastAsia" w:eastAsiaTheme="minorEastAsia"/>
          <w:sz w:val="24"/>
          <w:szCs w:val="24"/>
          <w:highlight w:val="none"/>
        </w:rPr>
        <w:t>个工作日内</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乙方应当将转让价款</w:t>
      </w:r>
      <w:r>
        <w:rPr>
          <w:rFonts w:hint="eastAsia" w:asciiTheme="minorEastAsia" w:hAnsiTheme="minorEastAsia" w:eastAsiaTheme="minorEastAsia"/>
          <w:sz w:val="24"/>
          <w:szCs w:val="24"/>
          <w:highlight w:val="none"/>
        </w:rPr>
        <w:t>【50,000,000.00】元（大写：【伍仟万】元整）</w:t>
      </w:r>
      <w:r>
        <w:rPr>
          <w:rFonts w:asciiTheme="minorEastAsia" w:hAnsiTheme="minorEastAsia" w:eastAsiaTheme="minorEastAsia"/>
          <w:sz w:val="24"/>
          <w:szCs w:val="24"/>
          <w:highlight w:val="none"/>
        </w:rPr>
        <w:t>支付至甲方书面指定的银行账户。</w:t>
      </w:r>
    </w:p>
    <w:p w14:paraId="0B921350">
      <w:pPr>
        <w:pStyle w:val="15"/>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（2）自取得</w:t>
      </w:r>
      <w:r>
        <w:rPr>
          <w:rFonts w:hint="eastAsia" w:asciiTheme="minorEastAsia" w:hAnsiTheme="minorEastAsia" w:eastAsiaTheme="minorEastAsia"/>
          <w:sz w:val="24"/>
          <w:szCs w:val="24"/>
          <w:highlight w:val="none"/>
        </w:rPr>
        <w:t>深圳证券交易所出具的关于本次股票协议转让业务确认书后【5】</w:t>
      </w:r>
      <w:r>
        <w:rPr>
          <w:rFonts w:asciiTheme="minorEastAsia" w:hAnsiTheme="minorEastAsia" w:eastAsiaTheme="minorEastAsia"/>
          <w:sz w:val="24"/>
          <w:szCs w:val="24"/>
          <w:highlight w:val="none"/>
        </w:rPr>
        <w:t>个工作日内</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乙方应当将转让价款</w:t>
      </w:r>
      <w:r>
        <w:rPr>
          <w:rFonts w:hint="eastAsia" w:asciiTheme="minorEastAsia" w:hAnsiTheme="minorEastAsia" w:eastAsiaTheme="minorEastAsia"/>
          <w:sz w:val="24"/>
          <w:szCs w:val="24"/>
          <w:highlight w:val="none"/>
        </w:rPr>
        <w:t>【50,000,000.00】元（大写：【伍仟万】元整）</w:t>
      </w:r>
      <w:r>
        <w:rPr>
          <w:rFonts w:asciiTheme="minorEastAsia" w:hAnsiTheme="minorEastAsia" w:eastAsiaTheme="minorEastAsia"/>
          <w:sz w:val="24"/>
          <w:szCs w:val="24"/>
          <w:highlight w:val="none"/>
        </w:rPr>
        <w:t>支付至甲方书面指定的银行账户。</w:t>
      </w:r>
    </w:p>
    <w:p w14:paraId="6D16DDC5">
      <w:pPr>
        <w:pStyle w:val="15"/>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（3）在甲乙双方共同向中国证券登记结算有限责任公司深圳分公司提交标的股份过户前，乙方应当向甲方累计支付不少于【200,000,000.00】元(大写：【贰亿】元整)</w:t>
      </w:r>
      <w:r>
        <w:rPr>
          <w:rFonts w:asciiTheme="minorEastAsia" w:hAnsiTheme="minorEastAsia" w:eastAsiaTheme="minorEastAsia"/>
          <w:sz w:val="24"/>
          <w:szCs w:val="24"/>
          <w:highlight w:val="none"/>
        </w:rPr>
        <w:t>至甲方书面指定的银行账户。</w:t>
      </w:r>
    </w:p>
    <w:p w14:paraId="2C9A89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sz w:val="24"/>
          <w:szCs w:val="24"/>
          <w:highlight w:val="none"/>
          <w:lang w:val="en-US" w:eastAsia="zh-CN"/>
        </w:rPr>
      </w:pPr>
      <w:r>
        <w:rPr>
          <w:rFonts w:hint="eastAsia" w:asciiTheme="minorEastAsia" w:hAnsiTheme="minorEastAsia" w:eastAsiaTheme="minorEastAsia"/>
          <w:sz w:val="24"/>
          <w:szCs w:val="24"/>
          <w:highlight w:val="none"/>
        </w:rPr>
        <w:t>(4)</w:t>
      </w:r>
      <w:r>
        <w:rPr>
          <w:rFonts w:asciiTheme="minorEastAsia" w:hAnsiTheme="minorEastAsia" w:eastAsiaTheme="minorEastAsia"/>
          <w:sz w:val="24"/>
          <w:szCs w:val="24"/>
          <w:highlight w:val="none"/>
        </w:rPr>
        <w:t>剩余款项在过户完成日起</w:t>
      </w:r>
      <w:r>
        <w:rPr>
          <w:rFonts w:hint="eastAsia" w:asciiTheme="minorEastAsia" w:hAnsiTheme="minorEastAsia" w:eastAsiaTheme="minorEastAsia"/>
          <w:sz w:val="24"/>
          <w:szCs w:val="24"/>
          <w:highlight w:val="none"/>
        </w:rPr>
        <w:t>1年</w:t>
      </w:r>
      <w:r>
        <w:rPr>
          <w:rFonts w:asciiTheme="minorEastAsia" w:hAnsiTheme="minorEastAsia" w:eastAsiaTheme="minorEastAsia"/>
          <w:sz w:val="24"/>
          <w:szCs w:val="24"/>
          <w:highlight w:val="none"/>
        </w:rPr>
        <w:t>内支付完毕。</w:t>
      </w:r>
      <w:r>
        <w:rPr>
          <w:rFonts w:hint="eastAsia" w:asciiTheme="minorEastAsia" w:hAnsiTheme="minorEastAsia"/>
          <w:sz w:val="24"/>
          <w:szCs w:val="24"/>
          <w:highlight w:val="none"/>
          <w:lang w:val="en-US" w:eastAsia="zh-CN"/>
        </w:rPr>
        <w:t>”</w:t>
      </w:r>
    </w:p>
    <w:p w14:paraId="32241B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变更为：</w:t>
      </w:r>
    </w:p>
    <w:p w14:paraId="211E88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“2.4 双方同意：</w:t>
      </w:r>
    </w:p>
    <w:p w14:paraId="171871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（1）在甲乙双方共同向中国证券登记结算有限责任公司深圳分公司提交标的股份过户前，乙方应当向甲方累计支付不少于200,000,000.00元（大写：贰亿元整）至甲方书面指定的银行账户。</w:t>
      </w:r>
    </w:p>
    <w:p w14:paraId="3140F7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（2）剩余款项在过户完成日起1个月内支付完毕。”</w:t>
      </w:r>
    </w:p>
    <w:p w14:paraId="66AD4B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b w:val="0"/>
          <w:bCs w:val="0"/>
          <w:sz w:val="24"/>
          <w:szCs w:val="32"/>
          <w:lang w:val="en-US" w:eastAsia="zh-CN"/>
        </w:rPr>
        <w:t>（二）</w:t>
      </w:r>
      <w:r>
        <w:rPr>
          <w:rFonts w:hint="eastAsia"/>
          <w:sz w:val="24"/>
          <w:szCs w:val="32"/>
          <w:lang w:val="en-US" w:eastAsia="zh-CN"/>
        </w:rPr>
        <w:t>原协议其他条款保持不变。</w:t>
      </w:r>
    </w:p>
    <w:p w14:paraId="5AA32D7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b/>
          <w:bCs/>
          <w:sz w:val="24"/>
          <w:szCs w:val="32"/>
          <w:lang w:val="en-US" w:eastAsia="zh-CN"/>
        </w:rPr>
      </w:pPr>
      <w:r>
        <w:rPr>
          <w:rFonts w:hint="eastAsia"/>
          <w:b/>
          <w:bCs/>
          <w:sz w:val="24"/>
          <w:szCs w:val="32"/>
          <w:lang w:val="en-US" w:eastAsia="zh-CN"/>
        </w:rPr>
        <w:t>其他相关说明</w:t>
      </w:r>
    </w:p>
    <w:p w14:paraId="01BC8A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本次股份转让尚需通过深交所合规性审核、并在中国证券登记结算有限责任公司深圳分公司办理协议股份过户相关手续，本交易是否能够最终完成尚存在不确定性，公司将持续关注相关事项的进展，根据相关规定及时披露进展情况，并督促交易双方按照有关法律法规的要求及时履行信息披露义务。敬请广大投资者注意投资风险。</w:t>
      </w:r>
    </w:p>
    <w:p w14:paraId="164B38D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b/>
          <w:bCs/>
          <w:sz w:val="24"/>
          <w:szCs w:val="32"/>
          <w:lang w:val="en-US" w:eastAsia="zh-CN"/>
        </w:rPr>
      </w:pPr>
      <w:r>
        <w:rPr>
          <w:rFonts w:hint="eastAsia"/>
          <w:b/>
          <w:bCs/>
          <w:sz w:val="24"/>
          <w:szCs w:val="32"/>
          <w:lang w:val="en-US" w:eastAsia="zh-CN"/>
        </w:rPr>
        <w:t>备查文件</w:t>
      </w:r>
    </w:p>
    <w:p w14:paraId="083C24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b w:val="0"/>
          <w:bCs w:val="0"/>
          <w:sz w:val="24"/>
          <w:szCs w:val="32"/>
          <w:lang w:val="en-US" w:eastAsia="zh-CN"/>
        </w:rPr>
      </w:pPr>
      <w:r>
        <w:rPr>
          <w:rFonts w:hint="eastAsia"/>
          <w:b w:val="0"/>
          <w:bCs w:val="0"/>
          <w:sz w:val="24"/>
          <w:szCs w:val="32"/>
          <w:lang w:val="en-US" w:eastAsia="zh-CN"/>
        </w:rPr>
        <w:t>1、《股份转让协议补充协议》</w:t>
      </w:r>
    </w:p>
    <w:p w14:paraId="4328AA2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Theme="minorEastAsia" w:hAnsiTheme="minorEastAsia" w:eastAsiaTheme="minorEastAsia"/>
          <w:kern w:val="0"/>
          <w:sz w:val="24"/>
          <w:szCs w:val="24"/>
        </w:rPr>
      </w:pPr>
      <w:r>
        <w:rPr>
          <w:rFonts w:asciiTheme="minorEastAsia" w:hAnsiTheme="minorEastAsia" w:eastAsiaTheme="minorEastAsia"/>
          <w:kern w:val="0"/>
          <w:sz w:val="24"/>
          <w:szCs w:val="24"/>
        </w:rPr>
        <w:t>特此公告。</w:t>
      </w:r>
    </w:p>
    <w:p w14:paraId="04404858">
      <w:pPr>
        <w:autoSpaceDE w:val="0"/>
        <w:autoSpaceDN w:val="0"/>
        <w:adjustRightInd w:val="0"/>
        <w:spacing w:line="360" w:lineRule="auto"/>
        <w:jc w:val="right"/>
        <w:rPr>
          <w:rFonts w:asciiTheme="minorEastAsia" w:hAnsiTheme="minorEastAsia" w:eastAsiaTheme="minorEastAsia"/>
          <w:kern w:val="0"/>
          <w:sz w:val="24"/>
          <w:szCs w:val="24"/>
        </w:rPr>
      </w:pPr>
      <w:r>
        <w:rPr>
          <w:rFonts w:asciiTheme="minorEastAsia" w:hAnsiTheme="minorEastAsia" w:eastAsiaTheme="minorEastAsia"/>
          <w:kern w:val="0"/>
          <w:sz w:val="24"/>
          <w:szCs w:val="24"/>
        </w:rPr>
        <w:t>华孚时尚股份有限公司</w:t>
      </w:r>
      <w:r>
        <w:rPr>
          <w:rFonts w:hint="eastAsia" w:asciiTheme="minorEastAsia" w:hAnsiTheme="minorEastAsia" w:eastAsiaTheme="minorEastAsia"/>
          <w:kern w:val="0"/>
          <w:sz w:val="24"/>
          <w:szCs w:val="24"/>
        </w:rPr>
        <w:t>董</w:t>
      </w:r>
      <w:r>
        <w:rPr>
          <w:rFonts w:asciiTheme="minorEastAsia" w:hAnsiTheme="minorEastAsia" w:eastAsiaTheme="minorEastAsia"/>
          <w:kern w:val="0"/>
          <w:sz w:val="24"/>
          <w:szCs w:val="24"/>
        </w:rPr>
        <w:t>事会</w:t>
      </w:r>
    </w:p>
    <w:p w14:paraId="0AB4CBDE">
      <w:pPr>
        <w:autoSpaceDE w:val="0"/>
        <w:autoSpaceDN w:val="0"/>
        <w:adjustRightInd w:val="0"/>
        <w:spacing w:line="360" w:lineRule="auto"/>
        <w:jc w:val="right"/>
        <w:rPr>
          <w:rFonts w:asciiTheme="minorEastAsia" w:hAnsiTheme="minorEastAsia" w:eastAsiaTheme="minorEastAsia"/>
          <w:sz w:val="24"/>
          <w:szCs w:val="24"/>
        </w:rPr>
      </w:pPr>
      <w:r>
        <w:rPr>
          <w:rFonts w:hint="eastAsia" w:asciiTheme="minorEastAsia" w:hAnsiTheme="minorEastAsia" w:eastAsiaTheme="minorEastAsia"/>
          <w:kern w:val="0"/>
          <w:sz w:val="24"/>
          <w:szCs w:val="24"/>
        </w:rPr>
        <w:t>二〇二四年</w:t>
      </w:r>
      <w:r>
        <w:rPr>
          <w:rFonts w:hint="eastAsia" w:asciiTheme="minorEastAsia" w:hAnsiTheme="minorEastAsia" w:eastAsiaTheme="minorEastAsia"/>
          <w:kern w:val="0"/>
          <w:sz w:val="24"/>
          <w:szCs w:val="24"/>
          <w:lang w:eastAsia="zh-CN"/>
        </w:rPr>
        <w:t>十一</w:t>
      </w:r>
      <w:r>
        <w:rPr>
          <w:rFonts w:hint="eastAsia" w:asciiTheme="minorEastAsia" w:hAnsiTheme="minorEastAsia" w:eastAsiaTheme="minorEastAsia"/>
          <w:kern w:val="0"/>
          <w:sz w:val="24"/>
          <w:szCs w:val="24"/>
        </w:rPr>
        <w:t>月</w:t>
      </w:r>
      <w:r>
        <w:rPr>
          <w:rFonts w:hint="eastAsia" w:asciiTheme="minorEastAsia" w:hAnsiTheme="minorEastAsia" w:eastAsiaTheme="minorEastAsia"/>
          <w:kern w:val="0"/>
          <w:sz w:val="24"/>
          <w:szCs w:val="24"/>
          <w:lang w:eastAsia="zh-CN"/>
        </w:rPr>
        <w:t>十四</w:t>
      </w:r>
      <w:r>
        <w:rPr>
          <w:rFonts w:hint="eastAsia" w:asciiTheme="minorEastAsia" w:hAnsiTheme="minorEastAsia" w:eastAsiaTheme="minorEastAsia"/>
          <w:kern w:val="0"/>
          <w:sz w:val="24"/>
          <w:szCs w:val="24"/>
        </w:rPr>
        <w:t>日</w:t>
      </w:r>
    </w:p>
    <w:p w14:paraId="443BDC54">
      <w:pPr>
        <w:autoSpaceDE w:val="0"/>
        <w:autoSpaceDN w:val="0"/>
        <w:adjustRightInd w:val="0"/>
        <w:spacing w:line="460" w:lineRule="exact"/>
        <w:jc w:val="right"/>
        <w:rPr>
          <w:rFonts w:asciiTheme="minorEastAsia" w:hAnsiTheme="minorEastAsia" w:eastAsiaTheme="minorEastAsia"/>
          <w:sz w:val="24"/>
          <w:szCs w:val="24"/>
        </w:rPr>
      </w:pPr>
    </w:p>
    <w:sectPr>
      <w:pgSz w:w="11906" w:h="16838"/>
      <w:pgMar w:top="1440" w:right="1800" w:bottom="18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E4D66"/>
    <w:multiLevelType w:val="singleLevel"/>
    <w:tmpl w:val="B4EE4D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30938"/>
    <w:rsid w:val="0005344A"/>
    <w:rsid w:val="00072F72"/>
    <w:rsid w:val="00073ED7"/>
    <w:rsid w:val="00077B55"/>
    <w:rsid w:val="000864CE"/>
    <w:rsid w:val="000A59A0"/>
    <w:rsid w:val="000D4629"/>
    <w:rsid w:val="000D5198"/>
    <w:rsid w:val="000E0DC2"/>
    <w:rsid w:val="000E1CB2"/>
    <w:rsid w:val="000F2525"/>
    <w:rsid w:val="000F31DF"/>
    <w:rsid w:val="00101C2A"/>
    <w:rsid w:val="0010472C"/>
    <w:rsid w:val="00107892"/>
    <w:rsid w:val="00110CA2"/>
    <w:rsid w:val="001421D3"/>
    <w:rsid w:val="001454CC"/>
    <w:rsid w:val="00147F04"/>
    <w:rsid w:val="00160828"/>
    <w:rsid w:val="00162FE4"/>
    <w:rsid w:val="001657EE"/>
    <w:rsid w:val="00171561"/>
    <w:rsid w:val="00172BC2"/>
    <w:rsid w:val="001834CB"/>
    <w:rsid w:val="00184D4F"/>
    <w:rsid w:val="00195116"/>
    <w:rsid w:val="001A41C6"/>
    <w:rsid w:val="001A4B2A"/>
    <w:rsid w:val="001C4E9E"/>
    <w:rsid w:val="001E7C24"/>
    <w:rsid w:val="00245473"/>
    <w:rsid w:val="00260090"/>
    <w:rsid w:val="00287EF9"/>
    <w:rsid w:val="002B7A5A"/>
    <w:rsid w:val="002D5BE1"/>
    <w:rsid w:val="002D792A"/>
    <w:rsid w:val="00301B70"/>
    <w:rsid w:val="00331750"/>
    <w:rsid w:val="0034603E"/>
    <w:rsid w:val="0037195C"/>
    <w:rsid w:val="003B336E"/>
    <w:rsid w:val="003C7D52"/>
    <w:rsid w:val="003D122A"/>
    <w:rsid w:val="003D4FDA"/>
    <w:rsid w:val="003D6B08"/>
    <w:rsid w:val="003D76D1"/>
    <w:rsid w:val="003E3AAF"/>
    <w:rsid w:val="00407607"/>
    <w:rsid w:val="00416B62"/>
    <w:rsid w:val="004177B7"/>
    <w:rsid w:val="00422395"/>
    <w:rsid w:val="004311AF"/>
    <w:rsid w:val="00481418"/>
    <w:rsid w:val="00493CDA"/>
    <w:rsid w:val="004B6727"/>
    <w:rsid w:val="004D6190"/>
    <w:rsid w:val="004E7761"/>
    <w:rsid w:val="004F40B5"/>
    <w:rsid w:val="004F782E"/>
    <w:rsid w:val="00513CD5"/>
    <w:rsid w:val="00515F86"/>
    <w:rsid w:val="0052141F"/>
    <w:rsid w:val="00521776"/>
    <w:rsid w:val="00523EE7"/>
    <w:rsid w:val="005262A3"/>
    <w:rsid w:val="00533D5E"/>
    <w:rsid w:val="005413CB"/>
    <w:rsid w:val="005509DA"/>
    <w:rsid w:val="0056077C"/>
    <w:rsid w:val="00563FDE"/>
    <w:rsid w:val="0056582B"/>
    <w:rsid w:val="00575FD2"/>
    <w:rsid w:val="00583371"/>
    <w:rsid w:val="005C3288"/>
    <w:rsid w:val="005C6441"/>
    <w:rsid w:val="005D1C24"/>
    <w:rsid w:val="00601109"/>
    <w:rsid w:val="00602F1F"/>
    <w:rsid w:val="0060371E"/>
    <w:rsid w:val="00613DFD"/>
    <w:rsid w:val="00624B96"/>
    <w:rsid w:val="00630782"/>
    <w:rsid w:val="0065306D"/>
    <w:rsid w:val="00663FE3"/>
    <w:rsid w:val="00666BB4"/>
    <w:rsid w:val="00677B15"/>
    <w:rsid w:val="006822AB"/>
    <w:rsid w:val="00697179"/>
    <w:rsid w:val="006D15CC"/>
    <w:rsid w:val="006E6AFD"/>
    <w:rsid w:val="006F311D"/>
    <w:rsid w:val="006F3BB5"/>
    <w:rsid w:val="006F59DF"/>
    <w:rsid w:val="00700436"/>
    <w:rsid w:val="00704E4B"/>
    <w:rsid w:val="0071197D"/>
    <w:rsid w:val="00735CBE"/>
    <w:rsid w:val="00737F5E"/>
    <w:rsid w:val="0074750C"/>
    <w:rsid w:val="00757D85"/>
    <w:rsid w:val="0079740D"/>
    <w:rsid w:val="0079769C"/>
    <w:rsid w:val="007B6971"/>
    <w:rsid w:val="007C0D39"/>
    <w:rsid w:val="007D5132"/>
    <w:rsid w:val="007E2872"/>
    <w:rsid w:val="00822E8C"/>
    <w:rsid w:val="00824DED"/>
    <w:rsid w:val="00826D6E"/>
    <w:rsid w:val="00832685"/>
    <w:rsid w:val="008334EC"/>
    <w:rsid w:val="00841BE8"/>
    <w:rsid w:val="00847235"/>
    <w:rsid w:val="00862A46"/>
    <w:rsid w:val="008720A2"/>
    <w:rsid w:val="008C3C6D"/>
    <w:rsid w:val="008D13DD"/>
    <w:rsid w:val="008D4E62"/>
    <w:rsid w:val="008E739A"/>
    <w:rsid w:val="00921C1A"/>
    <w:rsid w:val="00925B42"/>
    <w:rsid w:val="0093215B"/>
    <w:rsid w:val="00932963"/>
    <w:rsid w:val="0095138F"/>
    <w:rsid w:val="00952E83"/>
    <w:rsid w:val="00957BE8"/>
    <w:rsid w:val="00962675"/>
    <w:rsid w:val="00974AE1"/>
    <w:rsid w:val="0098134C"/>
    <w:rsid w:val="00984D7B"/>
    <w:rsid w:val="00985BAD"/>
    <w:rsid w:val="00985CBE"/>
    <w:rsid w:val="00993E83"/>
    <w:rsid w:val="009D0419"/>
    <w:rsid w:val="009D7EF8"/>
    <w:rsid w:val="009F0741"/>
    <w:rsid w:val="009F23F9"/>
    <w:rsid w:val="009F6B32"/>
    <w:rsid w:val="00A02886"/>
    <w:rsid w:val="00A137E7"/>
    <w:rsid w:val="00A22881"/>
    <w:rsid w:val="00A2438E"/>
    <w:rsid w:val="00A2788A"/>
    <w:rsid w:val="00A35185"/>
    <w:rsid w:val="00A358EB"/>
    <w:rsid w:val="00A45FE7"/>
    <w:rsid w:val="00A66C04"/>
    <w:rsid w:val="00A70486"/>
    <w:rsid w:val="00A74B9F"/>
    <w:rsid w:val="00A76D9B"/>
    <w:rsid w:val="00A83FCE"/>
    <w:rsid w:val="00A93A80"/>
    <w:rsid w:val="00AC3C01"/>
    <w:rsid w:val="00AC591E"/>
    <w:rsid w:val="00AC63A0"/>
    <w:rsid w:val="00AC641F"/>
    <w:rsid w:val="00AD43A4"/>
    <w:rsid w:val="00AE2F9E"/>
    <w:rsid w:val="00AF376D"/>
    <w:rsid w:val="00B315E6"/>
    <w:rsid w:val="00B34194"/>
    <w:rsid w:val="00B4132A"/>
    <w:rsid w:val="00B54D64"/>
    <w:rsid w:val="00B6381E"/>
    <w:rsid w:val="00B66744"/>
    <w:rsid w:val="00B82ED3"/>
    <w:rsid w:val="00B93FC3"/>
    <w:rsid w:val="00BA6BC2"/>
    <w:rsid w:val="00BA7F76"/>
    <w:rsid w:val="00BB3F3F"/>
    <w:rsid w:val="00BF13AE"/>
    <w:rsid w:val="00BF23F9"/>
    <w:rsid w:val="00BF29C0"/>
    <w:rsid w:val="00C019E6"/>
    <w:rsid w:val="00C21C42"/>
    <w:rsid w:val="00C428C4"/>
    <w:rsid w:val="00C506F0"/>
    <w:rsid w:val="00C50F47"/>
    <w:rsid w:val="00C55B84"/>
    <w:rsid w:val="00C60F60"/>
    <w:rsid w:val="00C6218A"/>
    <w:rsid w:val="00C75216"/>
    <w:rsid w:val="00C80118"/>
    <w:rsid w:val="00CB7DB4"/>
    <w:rsid w:val="00CF0030"/>
    <w:rsid w:val="00D01EAD"/>
    <w:rsid w:val="00D0411A"/>
    <w:rsid w:val="00D12795"/>
    <w:rsid w:val="00D40684"/>
    <w:rsid w:val="00D611C6"/>
    <w:rsid w:val="00D70B6D"/>
    <w:rsid w:val="00D744A3"/>
    <w:rsid w:val="00D851B2"/>
    <w:rsid w:val="00D872DE"/>
    <w:rsid w:val="00D9258B"/>
    <w:rsid w:val="00DA1675"/>
    <w:rsid w:val="00DA360D"/>
    <w:rsid w:val="00DB4173"/>
    <w:rsid w:val="00DD30B7"/>
    <w:rsid w:val="00DD450B"/>
    <w:rsid w:val="00DE734B"/>
    <w:rsid w:val="00DF0348"/>
    <w:rsid w:val="00E330A1"/>
    <w:rsid w:val="00E37C18"/>
    <w:rsid w:val="00E6615D"/>
    <w:rsid w:val="00E7656F"/>
    <w:rsid w:val="00E85137"/>
    <w:rsid w:val="00EB21D5"/>
    <w:rsid w:val="00EB6C78"/>
    <w:rsid w:val="00EE7C11"/>
    <w:rsid w:val="00F01039"/>
    <w:rsid w:val="00F05FA4"/>
    <w:rsid w:val="00F0735F"/>
    <w:rsid w:val="00F34F07"/>
    <w:rsid w:val="00F54AEF"/>
    <w:rsid w:val="00F70C8D"/>
    <w:rsid w:val="00F758CC"/>
    <w:rsid w:val="00F8199E"/>
    <w:rsid w:val="00F96CE1"/>
    <w:rsid w:val="00FB6F06"/>
    <w:rsid w:val="00FC798E"/>
    <w:rsid w:val="02AC6CFE"/>
    <w:rsid w:val="0FAD0AA8"/>
    <w:rsid w:val="133245B6"/>
    <w:rsid w:val="21D61D17"/>
    <w:rsid w:val="2B6E42C0"/>
    <w:rsid w:val="2BB241C6"/>
    <w:rsid w:val="31B616D4"/>
    <w:rsid w:val="34A55F9D"/>
    <w:rsid w:val="374427E3"/>
    <w:rsid w:val="399B6D21"/>
    <w:rsid w:val="3A105C66"/>
    <w:rsid w:val="3CE21F1B"/>
    <w:rsid w:val="46DA38D7"/>
    <w:rsid w:val="519345CE"/>
    <w:rsid w:val="5C8421B8"/>
    <w:rsid w:val="5DD961EC"/>
    <w:rsid w:val="675A27C1"/>
    <w:rsid w:val="703A6FBE"/>
    <w:rsid w:val="740833A5"/>
    <w:rsid w:val="74364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semiHidden/>
    <w:unhideWhenUsed/>
    <w:qFormat/>
    <w:uiPriority w:val="0"/>
    <w:pPr>
      <w:spacing w:line="600" w:lineRule="atLeast"/>
      <w:ind w:firstLine="560" w:firstLineChars="200"/>
    </w:pPr>
    <w:rPr>
      <w:rFonts w:ascii="Times New Roman" w:hAnsi="Times New Roman"/>
      <w:sz w:val="28"/>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FollowedHyperlink"/>
    <w:basedOn w:val="8"/>
    <w:semiHidden/>
    <w:unhideWhenUsed/>
    <w:qFormat/>
    <w:uiPriority w:val="99"/>
    <w:rPr>
      <w:color w:val="800080"/>
      <w:u w:val="single"/>
    </w:rPr>
  </w:style>
  <w:style w:type="character" w:styleId="10">
    <w:name w:val="Hyperlink"/>
    <w:unhideWhenUsed/>
    <w:qFormat/>
    <w:uiPriority w:val="99"/>
    <w:rPr>
      <w:color w:val="0000FF"/>
      <w:u w:val="single"/>
    </w:rPr>
  </w:style>
  <w:style w:type="character" w:customStyle="1" w:styleId="11">
    <w:name w:val="页眉 Char"/>
    <w:basedOn w:val="8"/>
    <w:link w:val="5"/>
    <w:qFormat/>
    <w:uiPriority w:val="99"/>
    <w:rPr>
      <w:rFonts w:ascii="Calibri" w:hAnsi="Calibri" w:eastAsia="宋体" w:cs="Times New Roman"/>
      <w:sz w:val="18"/>
      <w:szCs w:val="18"/>
    </w:rPr>
  </w:style>
  <w:style w:type="character" w:customStyle="1" w:styleId="12">
    <w:name w:val="页脚 Char"/>
    <w:basedOn w:val="8"/>
    <w:link w:val="4"/>
    <w:qFormat/>
    <w:uiPriority w:val="99"/>
    <w:rPr>
      <w:rFonts w:ascii="Calibri" w:hAnsi="Calibri" w:eastAsia="宋体" w:cs="Times New Roman"/>
      <w:sz w:val="18"/>
      <w:szCs w:val="18"/>
    </w:rPr>
  </w:style>
  <w:style w:type="character" w:customStyle="1" w:styleId="13">
    <w:name w:val="正文文本缩进 Char"/>
    <w:basedOn w:val="8"/>
    <w:link w:val="2"/>
    <w:semiHidden/>
    <w:qFormat/>
    <w:uiPriority w:val="0"/>
    <w:rPr>
      <w:rFonts w:ascii="Times New Roman" w:hAnsi="Times New Roman" w:eastAsia="宋体" w:cs="Times New Roman"/>
      <w:sz w:val="28"/>
      <w:szCs w:val="24"/>
    </w:rPr>
  </w:style>
  <w:style w:type="character" w:customStyle="1" w:styleId="14">
    <w:name w:val="批注框文本 Char"/>
    <w:basedOn w:val="8"/>
    <w:link w:val="3"/>
    <w:semiHidden/>
    <w:qFormat/>
    <w:uiPriority w:val="99"/>
    <w:rPr>
      <w:rFonts w:ascii="Calibri" w:hAnsi="Calibri" w:eastAsia="宋体" w:cs="Times New Roman"/>
      <w:sz w:val="18"/>
      <w:szCs w:val="18"/>
    </w:rPr>
  </w:style>
  <w:style w:type="paragraph" w:customStyle="1" w:styleId="15">
    <w:name w:val="List Paragraph1"/>
    <w:basedOn w:val="1"/>
    <w:autoRedefine/>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E252D-7165-4A37-B0A8-1114736DC0A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1022</Words>
  <Characters>1135</Characters>
  <Lines>6</Lines>
  <Paragraphs>1</Paragraphs>
  <TotalTime>0</TotalTime>
  <ScaleCrop>false</ScaleCrop>
  <LinksUpToDate>false</LinksUpToDate>
  <CharactersWithSpaces>1166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2024-08-28T01:00:00Z</dcterms:created>
  <dc:creator>孙献</dc:creator>
  <cp:lastModifiedBy>WSY</cp:lastModifiedBy>
  <cp:lastPrinted>2018-04-24T01:50:00Z</cp:lastPrinted>
  <dcterms:modified xsi:type="dcterms:W3CDTF">2024-11-13T06:47:22Z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A3C2B4ADE22A43CBBBC8EA7E936F74E2</vt:lpwstr>
  </property>
</Properties>
</file>