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AF7D9">
      <w:pPr>
        <w:widowControl/>
        <w:spacing w:line="360" w:lineRule="auto"/>
        <w:jc w:val="center"/>
        <w:rPr>
          <w:rFonts w:eastAsia="黑体"/>
          <w:b/>
          <w:bCs/>
          <w:sz w:val="32"/>
          <w:szCs w:val="32"/>
        </w:rPr>
      </w:pPr>
      <w:r>
        <w:rPr>
          <w:rFonts w:eastAsia="黑体"/>
          <w:b/>
          <w:bCs/>
          <w:sz w:val="32"/>
          <w:szCs w:val="32"/>
        </w:rPr>
        <w:t>华泰联合证券有限责任公司</w:t>
      </w:r>
    </w:p>
    <w:p w14:paraId="71AFB6D4">
      <w:pPr>
        <w:widowControl/>
        <w:spacing w:line="360" w:lineRule="auto"/>
        <w:jc w:val="center"/>
        <w:rPr>
          <w:rFonts w:eastAsia="黑体"/>
          <w:b/>
          <w:bCs/>
          <w:sz w:val="32"/>
          <w:szCs w:val="32"/>
        </w:rPr>
      </w:pPr>
      <w:r>
        <w:rPr>
          <w:rFonts w:eastAsia="黑体"/>
          <w:b/>
          <w:bCs/>
          <w:sz w:val="32"/>
          <w:szCs w:val="32"/>
        </w:rPr>
        <w:t>关于华孚时尚股份有限公司募投项目延期的核查意见</w:t>
      </w:r>
    </w:p>
    <w:p w14:paraId="0F4154BD">
      <w:pPr>
        <w:spacing w:before="156" w:beforeLines="50" w:line="360" w:lineRule="auto"/>
        <w:ind w:firstLine="480" w:firstLineChars="200"/>
        <w:rPr>
          <w:sz w:val="24"/>
        </w:rPr>
      </w:pPr>
      <w:r>
        <w:rPr>
          <w:sz w:val="24"/>
        </w:rPr>
        <w:t>华泰联合证券有限责任公司（以下称“华泰联合证券”或“保荐机构”）作为华孚时尚股份有限公司（以下简称“华孚时尚”、“上市公司”、“公司”）2021年非公开发行股票的保荐机构，根据《证券发行上市保荐业务管理办法》</w:t>
      </w:r>
      <w:r>
        <w:rPr>
          <w:rFonts w:hint="eastAsia"/>
          <w:sz w:val="24"/>
        </w:rPr>
        <w:t>（2</w:t>
      </w:r>
      <w:r>
        <w:rPr>
          <w:sz w:val="24"/>
        </w:rPr>
        <w:t>023</w:t>
      </w:r>
      <w:r>
        <w:rPr>
          <w:rFonts w:hint="eastAsia"/>
          <w:sz w:val="24"/>
        </w:rPr>
        <w:t>年修订）</w:t>
      </w:r>
      <w:r>
        <w:rPr>
          <w:sz w:val="24"/>
        </w:rPr>
        <w:t>《上市公司监管指引第 2 号——上市公司募集资金管理和使用的监管要求》《深圳证券交易所上市公司自律监管指引第1号——主板上市公司规范运作》等有关法律法规和规范性文件规定，就华孚时尚募投项目延期事项进行了审慎核查，并出具本核查意见。</w:t>
      </w:r>
    </w:p>
    <w:p w14:paraId="696A8ACC">
      <w:pPr>
        <w:spacing w:before="156" w:beforeLines="50" w:line="360" w:lineRule="auto"/>
        <w:ind w:firstLine="482" w:firstLineChars="200"/>
        <w:outlineLvl w:val="0"/>
        <w:rPr>
          <w:b/>
          <w:bCs/>
          <w:sz w:val="24"/>
        </w:rPr>
      </w:pPr>
      <w:r>
        <w:rPr>
          <w:b/>
          <w:bCs/>
          <w:sz w:val="24"/>
        </w:rPr>
        <w:t>一、募集资金基本情况</w:t>
      </w:r>
    </w:p>
    <w:p w14:paraId="0A5C365F">
      <w:pPr>
        <w:spacing w:before="156" w:beforeLines="50" w:line="360" w:lineRule="auto"/>
        <w:ind w:firstLine="480" w:firstLineChars="200"/>
        <w:rPr>
          <w:sz w:val="24"/>
        </w:rPr>
      </w:pPr>
      <w:r>
        <w:rPr>
          <w:sz w:val="24"/>
        </w:rPr>
        <w:t>经中国证券监督管理委员会《关于核准华孚时尚股份有限公司非公开发行股票的批复》（证监许可[2020]2582号）核准，华孚时尚向特定对象发行了274,278,835股人民币普通股，募集资金1,140,999,953.60元，扣除承销费和保荐费10,660,000.00元后的募集资金为1,130,339,953.60元，减除其他发行费用3,964,568.82元后，实际募集资金净额为1,126,375,384.78元。该等募集资金已于2021年9月14日全部到位，已经大华会计师事务所审验，并出具了《华孚时尚股份有限公司发行人民币普通股（A股）274,278,835股后实收资本的验资报告》（大华验字[2021]000637号）验证确认。此外，上市公司设立了相关募集资金专户，募集资金到账后，已全部存放于相关募集资金专户内，并与保荐机构、存放募集资金的商业银行签署了募集资金三方监管协议。</w:t>
      </w:r>
    </w:p>
    <w:p w14:paraId="2E03832B">
      <w:pPr>
        <w:spacing w:before="156" w:beforeLines="50" w:line="360" w:lineRule="auto"/>
        <w:ind w:firstLine="482" w:firstLineChars="200"/>
        <w:outlineLvl w:val="0"/>
        <w:rPr>
          <w:b/>
          <w:bCs/>
          <w:sz w:val="24"/>
        </w:rPr>
      </w:pPr>
      <w:r>
        <w:rPr>
          <w:b/>
          <w:bCs/>
          <w:sz w:val="24"/>
        </w:rPr>
        <w:t>二、募集资金使用情况</w:t>
      </w:r>
    </w:p>
    <w:p w14:paraId="6F3A7F7C">
      <w:pPr>
        <w:spacing w:before="156" w:beforeLines="50" w:line="360" w:lineRule="auto"/>
        <w:ind w:firstLine="480" w:firstLineChars="200"/>
        <w:rPr>
          <w:sz w:val="24"/>
        </w:rPr>
      </w:pPr>
      <w:r>
        <w:rPr>
          <w:sz w:val="24"/>
        </w:rPr>
        <w:t>1、本次募集资金扣除发行费用后，用于华孚（越南）50万锭新型纱线项目（一期）项目和补充流动资金，上述两个项目计划分别投入募集资金78,846.28万元和33,791.26万元。</w:t>
      </w:r>
    </w:p>
    <w:p w14:paraId="2FEA2612">
      <w:pPr>
        <w:spacing w:before="156" w:beforeLines="50" w:line="360" w:lineRule="auto"/>
        <w:ind w:firstLine="480" w:firstLineChars="200"/>
        <w:rPr>
          <w:sz w:val="24"/>
        </w:rPr>
      </w:pPr>
      <w:r>
        <w:rPr>
          <w:sz w:val="24"/>
        </w:rPr>
        <w:t>2、公司于2021年10月26日召开公司第七届董事会第九次会议和第七届监事会第二十一次会议审议通过《关于使用部分闲置募集资金现金管理的议案》，同意公司在不影响募投项目建设进度的前提下，为提高资金使用效率，使用不超过5.5亿元的闲置募集资金进行现金管理，上述额度可滚动使用，并授权公司管理层具体实施安排相关事宜，现金管理期限与授权期限不超过该次董事会审议通过该事项之日起12个月。该次闲置募集资金现金管理截止2022年10月25日已全部赎回。</w:t>
      </w:r>
    </w:p>
    <w:p w14:paraId="1E793F8F">
      <w:pPr>
        <w:spacing w:before="156" w:beforeLines="50" w:line="360" w:lineRule="auto"/>
        <w:ind w:firstLine="480" w:firstLineChars="200"/>
        <w:rPr>
          <w:sz w:val="24"/>
        </w:rPr>
      </w:pPr>
      <w:r>
        <w:rPr>
          <w:sz w:val="24"/>
        </w:rPr>
        <w:t>3、公司于2021年12月24日召开第八届董事会2021年第一次临时会议，审议通过《关于变更部分募集资金投资项目的议案》，同意将公司2021年非公开发行股票募集资金投资项目华孚（越南）50万锭新型纱线项目（一期）变更为30万锭智能纺纱产业园项目（项目实施地在安徽省淮北市），该事项已经公司于2022年1月10日召开的2022年第一次临时股东大会审议通过。</w:t>
      </w:r>
    </w:p>
    <w:p w14:paraId="09A78F92">
      <w:pPr>
        <w:spacing w:before="156" w:beforeLines="50" w:line="360" w:lineRule="auto"/>
        <w:ind w:firstLine="480" w:firstLineChars="200"/>
        <w:rPr>
          <w:sz w:val="24"/>
        </w:rPr>
      </w:pPr>
      <w:r>
        <w:rPr>
          <w:sz w:val="24"/>
        </w:rPr>
        <w:t>4、公司于2022年1月19日召开了第八届董事会2022年第一次临时会议和第八届监事会第二次会议,审议通过《关于使用募集资金置换先期投入自有资金的议案》，同意公司以2021年非公开发行股票募集资金的28,272.94万元置换先期已投入相关项目的自有资金。</w:t>
      </w:r>
    </w:p>
    <w:p w14:paraId="004D8D53">
      <w:pPr>
        <w:spacing w:before="156" w:beforeLines="50" w:line="360" w:lineRule="auto"/>
        <w:ind w:firstLine="480" w:firstLineChars="200"/>
        <w:rPr>
          <w:sz w:val="24"/>
        </w:rPr>
      </w:pPr>
      <w:r>
        <w:rPr>
          <w:sz w:val="24"/>
        </w:rPr>
        <w:t>5、公司于2022年9月26日召开第八届董事会2022年第四次临时会议和第八届监事会第七次会议，审议通过了《关于使用部分闲置募集资金暂时补充流动资金的议案》，同意公司使用不超过3亿元的闲置募集资金暂时补充流动资金，使用期限自该次董事会审议通过之日起不超过十二个月。该次用于暂时补充流动资金的闲置募集资金已于2023年9月15日前全部归还。</w:t>
      </w:r>
    </w:p>
    <w:p w14:paraId="36748447">
      <w:pPr>
        <w:widowControl/>
        <w:wordWrap w:val="0"/>
        <w:spacing w:line="500" w:lineRule="exact"/>
        <w:ind w:firstLine="480" w:firstLineChars="200"/>
        <w:rPr>
          <w:sz w:val="24"/>
        </w:rPr>
      </w:pPr>
      <w:r>
        <w:rPr>
          <w:sz w:val="24"/>
        </w:rPr>
        <w:t>6、公司于2022年10月28日召开公司第八届董事会第三次会议和第八届监事会第八次会议，审议通过《关于使用部分闲置募集资金现金管理的议案》，同意公司在不影响募投项目建设进度的前提下，为提高资金使用效率，使用不超过9,600.00万元的闲置募集资金进行现金管理，上述额度可滚动使用，并授权公司管理层具体实施安排相关事宜，现金管理期限与授权期限不超过该次董事会审议通过该事项之日起12个月。</w:t>
      </w:r>
    </w:p>
    <w:p w14:paraId="2CFFBD98">
      <w:pPr>
        <w:widowControl/>
        <w:wordWrap w:val="0"/>
        <w:spacing w:line="500" w:lineRule="exact"/>
        <w:ind w:firstLine="480" w:firstLineChars="200"/>
        <w:rPr>
          <w:sz w:val="24"/>
        </w:rPr>
      </w:pPr>
      <w:r>
        <w:rPr>
          <w:sz w:val="24"/>
        </w:rPr>
        <w:t>7、公司于2023年9月 19日召开第八届董事会2023年第三次临时会议及第八届监事会第十五次会议，审议通过《关于使用部分闲置募集资金暂时补充流动资金的议案》，在确保募集资金项目建设正常进行的前提下，同意公司使用不超过1.8亿元的闲置募集资金暂时补充流动资金，使用期限自该次董事会审议通过之日起不超过十二个月。</w:t>
      </w:r>
      <w:r>
        <w:rPr>
          <w:rFonts w:hint="eastAsia"/>
          <w:sz w:val="24"/>
        </w:rPr>
        <w:t>该次用于暂时补充流动资金的闲置募集资金已于2024年8月28日前全部归还。</w:t>
      </w:r>
    </w:p>
    <w:p w14:paraId="0400ED67">
      <w:pPr>
        <w:widowControl/>
        <w:wordWrap w:val="0"/>
        <w:spacing w:line="500" w:lineRule="exact"/>
        <w:ind w:firstLine="480" w:firstLineChars="200"/>
        <w:rPr>
          <w:rFonts w:hint="eastAsia"/>
          <w:sz w:val="24"/>
        </w:rPr>
      </w:pPr>
      <w:r>
        <w:rPr>
          <w:rFonts w:hint="eastAsia"/>
          <w:sz w:val="24"/>
        </w:rPr>
        <w:t>8、公司于2023年10月20日召开第八届董事会2023年第四次临时会议、第八届监事会第十六次会议，审议通过《关于募投项目延期的议案》，公司在募投项目实施主体、实施方式、投资总额不发生变更的情况下，根据实际情况决定对募投项目进行延期，将募投项目达到预定可使用状态的时间延长至 2024 年 9月30日。</w:t>
      </w:r>
    </w:p>
    <w:p w14:paraId="59FDC3AB">
      <w:pPr>
        <w:spacing w:before="156" w:beforeLines="50" w:line="360" w:lineRule="auto"/>
        <w:ind w:firstLine="480" w:firstLineChars="200"/>
        <w:outlineLvl w:val="0"/>
        <w:rPr>
          <w:sz w:val="24"/>
        </w:rPr>
      </w:pPr>
      <w:r>
        <w:rPr>
          <w:sz w:val="24"/>
        </w:rPr>
        <w:t>三</w:t>
      </w:r>
      <w:r>
        <w:rPr>
          <w:b/>
          <w:bCs/>
          <w:sz w:val="24"/>
        </w:rPr>
        <w:t>、募集资金余额情况</w:t>
      </w:r>
    </w:p>
    <w:p w14:paraId="6F90D20B">
      <w:pPr>
        <w:spacing w:before="156" w:beforeLines="50" w:line="360" w:lineRule="auto"/>
        <w:ind w:firstLine="480" w:firstLineChars="200"/>
        <w:rPr>
          <w:sz w:val="24"/>
        </w:rPr>
      </w:pPr>
      <w:r>
        <w:rPr>
          <w:sz w:val="24"/>
        </w:rPr>
        <w:t>截止202</w:t>
      </w:r>
      <w:r>
        <w:rPr>
          <w:rFonts w:hint="eastAsia"/>
          <w:sz w:val="24"/>
        </w:rPr>
        <w:t>4</w:t>
      </w:r>
      <w:r>
        <w:rPr>
          <w:sz w:val="24"/>
        </w:rPr>
        <w:t>年</w:t>
      </w:r>
      <w:r>
        <w:rPr>
          <w:rFonts w:hint="eastAsia"/>
          <w:sz w:val="24"/>
        </w:rPr>
        <w:t>1</w:t>
      </w:r>
      <w:r>
        <w:rPr>
          <w:sz w:val="24"/>
        </w:rPr>
        <w:t>0月</w:t>
      </w:r>
      <w:r>
        <w:rPr>
          <w:rFonts w:hint="eastAsia"/>
          <w:sz w:val="24"/>
        </w:rPr>
        <w:t>21</w:t>
      </w:r>
      <w:r>
        <w:rPr>
          <w:sz w:val="24"/>
        </w:rPr>
        <w:t>日，30万锭智能纺纱产业园项目募集资金专户余额为</w:t>
      </w:r>
      <w:r>
        <w:rPr>
          <w:rFonts w:hint="eastAsia"/>
          <w:sz w:val="24"/>
        </w:rPr>
        <w:t>1,946.43元</w:t>
      </w:r>
      <w:r>
        <w:rPr>
          <w:sz w:val="24"/>
        </w:rPr>
        <w:t>，具体情况如下：</w:t>
      </w:r>
    </w:p>
    <w:p w14:paraId="26FB3821">
      <w:pPr>
        <w:spacing w:before="156" w:beforeLines="50" w:line="360" w:lineRule="auto"/>
        <w:ind w:firstLine="420" w:firstLineChars="200"/>
        <w:jc w:val="right"/>
        <w:rPr>
          <w:szCs w:val="21"/>
        </w:rPr>
      </w:pPr>
      <w:r>
        <w:rPr>
          <w:szCs w:val="21"/>
        </w:rPr>
        <w:t>单位：万元</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551"/>
        <w:gridCol w:w="1868"/>
        <w:gridCol w:w="1868"/>
      </w:tblGrid>
      <w:tr w14:paraId="702FA6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1" w:type="pct"/>
            <w:shd w:val="clear" w:color="auto" w:fill="auto"/>
            <w:noWrap w:val="0"/>
            <w:vAlign w:val="center"/>
          </w:tcPr>
          <w:p w14:paraId="4CDF424B">
            <w:pPr>
              <w:jc w:val="center"/>
              <w:rPr>
                <w:b/>
                <w:bCs/>
                <w:szCs w:val="21"/>
              </w:rPr>
            </w:pPr>
            <w:r>
              <w:rPr>
                <w:b/>
                <w:bCs/>
                <w:szCs w:val="21"/>
              </w:rPr>
              <w:t>银行名称</w:t>
            </w:r>
          </w:p>
        </w:tc>
        <w:tc>
          <w:tcPr>
            <w:tcW w:w="1497" w:type="pct"/>
            <w:shd w:val="clear" w:color="auto" w:fill="auto"/>
            <w:noWrap w:val="0"/>
            <w:vAlign w:val="center"/>
          </w:tcPr>
          <w:p w14:paraId="40BEAEF3">
            <w:pPr>
              <w:jc w:val="center"/>
              <w:rPr>
                <w:b/>
                <w:bCs/>
                <w:szCs w:val="21"/>
              </w:rPr>
            </w:pPr>
            <w:r>
              <w:rPr>
                <w:b/>
                <w:bCs/>
                <w:szCs w:val="21"/>
              </w:rPr>
              <w:t>账号</w:t>
            </w:r>
          </w:p>
        </w:tc>
        <w:tc>
          <w:tcPr>
            <w:tcW w:w="1096" w:type="pct"/>
            <w:shd w:val="clear" w:color="auto" w:fill="auto"/>
            <w:noWrap w:val="0"/>
            <w:vAlign w:val="center"/>
          </w:tcPr>
          <w:p w14:paraId="42E8B416">
            <w:pPr>
              <w:jc w:val="center"/>
              <w:rPr>
                <w:b/>
                <w:bCs/>
                <w:szCs w:val="21"/>
              </w:rPr>
            </w:pPr>
            <w:r>
              <w:rPr>
                <w:b/>
                <w:bCs/>
                <w:szCs w:val="21"/>
              </w:rPr>
              <w:t>初始存放金额</w:t>
            </w:r>
          </w:p>
        </w:tc>
        <w:tc>
          <w:tcPr>
            <w:tcW w:w="1096" w:type="pct"/>
            <w:shd w:val="clear" w:color="auto" w:fill="auto"/>
            <w:noWrap w:val="0"/>
            <w:vAlign w:val="center"/>
          </w:tcPr>
          <w:p w14:paraId="4199A198">
            <w:pPr>
              <w:jc w:val="center"/>
              <w:rPr>
                <w:b/>
                <w:bCs/>
                <w:szCs w:val="21"/>
              </w:rPr>
            </w:pPr>
            <w:r>
              <w:rPr>
                <w:b/>
                <w:bCs/>
                <w:szCs w:val="21"/>
              </w:rPr>
              <w:t>截止日余额</w:t>
            </w:r>
          </w:p>
        </w:tc>
      </w:tr>
      <w:tr w14:paraId="2DA69B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1" w:type="pct"/>
            <w:shd w:val="clear" w:color="auto" w:fill="auto"/>
            <w:noWrap w:val="0"/>
            <w:vAlign w:val="center"/>
          </w:tcPr>
          <w:p w14:paraId="4895EA14">
            <w:pPr>
              <w:jc w:val="center"/>
              <w:rPr>
                <w:szCs w:val="21"/>
              </w:rPr>
            </w:pPr>
            <w:r>
              <w:rPr>
                <w:szCs w:val="21"/>
              </w:rPr>
              <w:t>浙商银行股份有限公司绍兴上虞支行</w:t>
            </w:r>
          </w:p>
        </w:tc>
        <w:tc>
          <w:tcPr>
            <w:tcW w:w="1497" w:type="pct"/>
            <w:shd w:val="clear" w:color="auto" w:fill="auto"/>
            <w:noWrap w:val="0"/>
            <w:vAlign w:val="center"/>
          </w:tcPr>
          <w:p w14:paraId="45E3D63B">
            <w:pPr>
              <w:jc w:val="center"/>
              <w:rPr>
                <w:szCs w:val="21"/>
              </w:rPr>
            </w:pPr>
            <w:r>
              <w:rPr>
                <w:szCs w:val="21"/>
              </w:rPr>
              <w:t>3371020210120100198791</w:t>
            </w:r>
          </w:p>
        </w:tc>
        <w:tc>
          <w:tcPr>
            <w:tcW w:w="1096" w:type="pct"/>
            <w:shd w:val="clear" w:color="auto" w:fill="auto"/>
            <w:noWrap w:val="0"/>
            <w:vAlign w:val="center"/>
          </w:tcPr>
          <w:p w14:paraId="27FDFBE2">
            <w:pPr>
              <w:jc w:val="right"/>
              <w:rPr>
                <w:szCs w:val="21"/>
              </w:rPr>
            </w:pPr>
            <w:r>
              <w:rPr>
                <w:szCs w:val="21"/>
              </w:rPr>
              <w:t>56,517.00</w:t>
            </w:r>
          </w:p>
        </w:tc>
        <w:tc>
          <w:tcPr>
            <w:tcW w:w="1096" w:type="pct"/>
            <w:shd w:val="clear" w:color="auto" w:fill="auto"/>
            <w:noWrap w:val="0"/>
            <w:vAlign w:val="center"/>
          </w:tcPr>
          <w:p w14:paraId="642B4EEA">
            <w:pPr>
              <w:jc w:val="right"/>
              <w:rPr>
                <w:szCs w:val="21"/>
              </w:rPr>
            </w:pPr>
            <w:r>
              <w:rPr>
                <w:rFonts w:hint="eastAsia"/>
                <w:szCs w:val="21"/>
              </w:rPr>
              <w:t>0.02</w:t>
            </w:r>
          </w:p>
        </w:tc>
      </w:tr>
      <w:tr w14:paraId="3CF34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1" w:type="pct"/>
            <w:shd w:val="clear" w:color="auto" w:fill="auto"/>
            <w:noWrap w:val="0"/>
            <w:vAlign w:val="center"/>
          </w:tcPr>
          <w:p w14:paraId="4D6740F5">
            <w:pPr>
              <w:jc w:val="center"/>
              <w:rPr>
                <w:szCs w:val="21"/>
              </w:rPr>
            </w:pPr>
            <w:r>
              <w:rPr>
                <w:szCs w:val="21"/>
              </w:rPr>
              <w:t>中国建设银行股份有限公司深圳罗湖支行</w:t>
            </w:r>
          </w:p>
        </w:tc>
        <w:tc>
          <w:tcPr>
            <w:tcW w:w="1497" w:type="pct"/>
            <w:shd w:val="clear" w:color="auto" w:fill="auto"/>
            <w:noWrap w:val="0"/>
            <w:vAlign w:val="center"/>
          </w:tcPr>
          <w:p w14:paraId="1CCBD875">
            <w:pPr>
              <w:jc w:val="center"/>
              <w:rPr>
                <w:szCs w:val="21"/>
              </w:rPr>
            </w:pPr>
            <w:r>
              <w:rPr>
                <w:szCs w:val="21"/>
              </w:rPr>
              <w:t>44250100002809999888</w:t>
            </w:r>
          </w:p>
        </w:tc>
        <w:tc>
          <w:tcPr>
            <w:tcW w:w="1096" w:type="pct"/>
            <w:shd w:val="clear" w:color="auto" w:fill="auto"/>
            <w:noWrap w:val="0"/>
            <w:vAlign w:val="center"/>
          </w:tcPr>
          <w:p w14:paraId="0CD0E323">
            <w:pPr>
              <w:jc w:val="right"/>
              <w:rPr>
                <w:szCs w:val="21"/>
              </w:rPr>
            </w:pPr>
            <w:r>
              <w:rPr>
                <w:szCs w:val="21"/>
              </w:rPr>
              <w:t>56,517.00</w:t>
            </w:r>
          </w:p>
        </w:tc>
        <w:tc>
          <w:tcPr>
            <w:tcW w:w="1096" w:type="pct"/>
            <w:shd w:val="clear" w:color="auto" w:fill="auto"/>
            <w:noWrap w:val="0"/>
            <w:vAlign w:val="center"/>
          </w:tcPr>
          <w:p w14:paraId="7E5E63AA">
            <w:pPr>
              <w:jc w:val="right"/>
              <w:rPr>
                <w:szCs w:val="21"/>
              </w:rPr>
            </w:pPr>
            <w:r>
              <w:rPr>
                <w:rFonts w:hint="eastAsia"/>
                <w:szCs w:val="21"/>
              </w:rPr>
              <w:t>0.18</w:t>
            </w:r>
          </w:p>
        </w:tc>
      </w:tr>
      <w:tr w14:paraId="47F1FB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8" w:type="pct"/>
            <w:gridSpan w:val="2"/>
            <w:shd w:val="clear" w:color="auto" w:fill="auto"/>
            <w:noWrap w:val="0"/>
            <w:vAlign w:val="center"/>
          </w:tcPr>
          <w:p w14:paraId="68D9A069">
            <w:pPr>
              <w:jc w:val="center"/>
              <w:rPr>
                <w:b/>
                <w:bCs/>
                <w:szCs w:val="21"/>
              </w:rPr>
            </w:pPr>
            <w:r>
              <w:rPr>
                <w:b/>
                <w:bCs/>
                <w:szCs w:val="21"/>
              </w:rPr>
              <w:t>合计</w:t>
            </w:r>
          </w:p>
        </w:tc>
        <w:tc>
          <w:tcPr>
            <w:tcW w:w="1096" w:type="pct"/>
            <w:shd w:val="clear" w:color="auto" w:fill="auto"/>
            <w:noWrap w:val="0"/>
            <w:vAlign w:val="center"/>
          </w:tcPr>
          <w:p w14:paraId="2780BDAD">
            <w:pPr>
              <w:jc w:val="right"/>
              <w:rPr>
                <w:b/>
                <w:bCs/>
                <w:szCs w:val="21"/>
              </w:rPr>
            </w:pPr>
            <w:r>
              <w:rPr>
                <w:b/>
                <w:bCs/>
                <w:szCs w:val="21"/>
              </w:rPr>
              <w:t>113,034.00</w:t>
            </w:r>
          </w:p>
        </w:tc>
        <w:tc>
          <w:tcPr>
            <w:tcW w:w="1096" w:type="pct"/>
            <w:shd w:val="clear" w:color="auto" w:fill="auto"/>
            <w:noWrap w:val="0"/>
            <w:vAlign w:val="center"/>
          </w:tcPr>
          <w:p w14:paraId="691ACC99">
            <w:pPr>
              <w:jc w:val="right"/>
              <w:rPr>
                <w:rFonts w:hint="eastAsia"/>
                <w:b/>
                <w:bCs/>
                <w:szCs w:val="21"/>
              </w:rPr>
            </w:pPr>
            <w:r>
              <w:rPr>
                <w:rFonts w:hint="eastAsia"/>
                <w:b/>
                <w:bCs/>
                <w:szCs w:val="21"/>
              </w:rPr>
              <w:t>0.20</w:t>
            </w:r>
          </w:p>
        </w:tc>
      </w:tr>
    </w:tbl>
    <w:p w14:paraId="471558D5">
      <w:pPr>
        <w:spacing w:before="156" w:beforeLines="50" w:line="360" w:lineRule="auto"/>
        <w:ind w:firstLine="482" w:firstLineChars="200"/>
        <w:outlineLvl w:val="0"/>
        <w:rPr>
          <w:b/>
          <w:bCs/>
          <w:sz w:val="24"/>
        </w:rPr>
      </w:pPr>
      <w:r>
        <w:rPr>
          <w:b/>
          <w:bCs/>
          <w:sz w:val="24"/>
        </w:rPr>
        <w:t>四、募投项目实施期限延长的具体情况及原因</w:t>
      </w:r>
    </w:p>
    <w:p w14:paraId="31A53CE7">
      <w:pPr>
        <w:spacing w:before="156" w:beforeLines="50" w:line="360" w:lineRule="auto"/>
        <w:ind w:firstLine="482" w:firstLineChars="200"/>
        <w:rPr>
          <w:b/>
          <w:bCs/>
          <w:sz w:val="24"/>
        </w:rPr>
      </w:pPr>
      <w:r>
        <w:rPr>
          <w:b/>
          <w:bCs/>
          <w:sz w:val="24"/>
        </w:rPr>
        <w:t>（一）募投项目延期的具体情况</w:t>
      </w:r>
    </w:p>
    <w:p w14:paraId="2F3F0E5C">
      <w:pPr>
        <w:spacing w:before="156" w:beforeLines="50" w:line="360" w:lineRule="auto"/>
        <w:ind w:firstLine="480" w:firstLineChars="200"/>
        <w:rPr>
          <w:sz w:val="24"/>
        </w:rPr>
      </w:pPr>
      <w:r>
        <w:rPr>
          <w:sz w:val="24"/>
        </w:rPr>
        <w:t>公司结合募投项目实际进展情况，在募投项目实施主体、实施方式、项目用途和投资规模均不发生变更的情况下，根据目前募投项目的实施进度，对募投项目达到预定可使用状态的时间进行调整，调整情况如下：</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838"/>
        <w:gridCol w:w="2505"/>
        <w:gridCol w:w="2506"/>
      </w:tblGrid>
      <w:tr w14:paraId="06B70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5" w:type="pct"/>
            <w:shd w:val="clear" w:color="auto" w:fill="auto"/>
            <w:noWrap w:val="0"/>
            <w:vAlign w:val="center"/>
          </w:tcPr>
          <w:p w14:paraId="4BA4E067">
            <w:pPr>
              <w:jc w:val="center"/>
              <w:rPr>
                <w:b/>
                <w:bCs/>
                <w:szCs w:val="21"/>
              </w:rPr>
            </w:pPr>
            <w:r>
              <w:rPr>
                <w:b/>
                <w:bCs/>
                <w:szCs w:val="21"/>
              </w:rPr>
              <w:t>序号</w:t>
            </w:r>
          </w:p>
        </w:tc>
        <w:tc>
          <w:tcPr>
            <w:tcW w:w="1665" w:type="pct"/>
            <w:shd w:val="clear" w:color="auto" w:fill="auto"/>
            <w:noWrap w:val="0"/>
            <w:vAlign w:val="center"/>
          </w:tcPr>
          <w:p w14:paraId="03703098">
            <w:pPr>
              <w:jc w:val="center"/>
              <w:rPr>
                <w:b/>
                <w:bCs/>
                <w:szCs w:val="21"/>
              </w:rPr>
            </w:pPr>
            <w:r>
              <w:rPr>
                <w:b/>
                <w:bCs/>
                <w:szCs w:val="21"/>
              </w:rPr>
              <w:t>项目名称</w:t>
            </w:r>
          </w:p>
        </w:tc>
        <w:tc>
          <w:tcPr>
            <w:tcW w:w="1470" w:type="pct"/>
            <w:shd w:val="clear" w:color="auto" w:fill="auto"/>
            <w:noWrap w:val="0"/>
            <w:vAlign w:val="center"/>
          </w:tcPr>
          <w:p w14:paraId="5D13C72B">
            <w:pPr>
              <w:jc w:val="center"/>
              <w:rPr>
                <w:b/>
                <w:bCs/>
                <w:szCs w:val="21"/>
              </w:rPr>
            </w:pPr>
            <w:r>
              <w:rPr>
                <w:b/>
                <w:bCs/>
                <w:szCs w:val="21"/>
              </w:rPr>
              <w:t>原计划达到预定可使用状态日期</w:t>
            </w:r>
          </w:p>
        </w:tc>
        <w:tc>
          <w:tcPr>
            <w:tcW w:w="1470" w:type="pct"/>
            <w:shd w:val="clear" w:color="auto" w:fill="auto"/>
            <w:noWrap w:val="0"/>
            <w:vAlign w:val="center"/>
          </w:tcPr>
          <w:p w14:paraId="696FC8DD">
            <w:pPr>
              <w:jc w:val="center"/>
              <w:rPr>
                <w:b/>
                <w:bCs/>
                <w:szCs w:val="21"/>
              </w:rPr>
            </w:pPr>
            <w:r>
              <w:rPr>
                <w:b/>
                <w:bCs/>
                <w:szCs w:val="21"/>
              </w:rPr>
              <w:t>调整后达到预定可使用状态日期</w:t>
            </w:r>
          </w:p>
        </w:tc>
      </w:tr>
      <w:tr w14:paraId="5B852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5" w:type="pct"/>
            <w:shd w:val="clear" w:color="auto" w:fill="auto"/>
            <w:noWrap w:val="0"/>
            <w:vAlign w:val="center"/>
          </w:tcPr>
          <w:p w14:paraId="43F85CE7">
            <w:pPr>
              <w:jc w:val="center"/>
              <w:rPr>
                <w:szCs w:val="21"/>
              </w:rPr>
            </w:pPr>
            <w:r>
              <w:rPr>
                <w:szCs w:val="21"/>
              </w:rPr>
              <w:t>1</w:t>
            </w:r>
          </w:p>
        </w:tc>
        <w:tc>
          <w:tcPr>
            <w:tcW w:w="1665" w:type="pct"/>
            <w:shd w:val="clear" w:color="auto" w:fill="auto"/>
            <w:noWrap w:val="0"/>
            <w:vAlign w:val="center"/>
          </w:tcPr>
          <w:p w14:paraId="475BE7C4">
            <w:pPr>
              <w:jc w:val="center"/>
              <w:rPr>
                <w:szCs w:val="21"/>
              </w:rPr>
            </w:pPr>
            <w:r>
              <w:rPr>
                <w:szCs w:val="21"/>
              </w:rPr>
              <w:t>30万锭智能纺纱产业园项目</w:t>
            </w:r>
          </w:p>
        </w:tc>
        <w:tc>
          <w:tcPr>
            <w:tcW w:w="1470" w:type="pct"/>
            <w:shd w:val="clear" w:color="auto" w:fill="auto"/>
            <w:noWrap w:val="0"/>
            <w:vAlign w:val="center"/>
          </w:tcPr>
          <w:p w14:paraId="54A5E2B6">
            <w:pPr>
              <w:jc w:val="right"/>
              <w:rPr>
                <w:szCs w:val="21"/>
              </w:rPr>
            </w:pPr>
            <w:r>
              <w:rPr>
                <w:szCs w:val="21"/>
              </w:rPr>
              <w:t>202</w:t>
            </w:r>
            <w:r>
              <w:rPr>
                <w:rFonts w:hint="eastAsia"/>
                <w:szCs w:val="21"/>
              </w:rPr>
              <w:t>4</w:t>
            </w:r>
            <w:r>
              <w:rPr>
                <w:szCs w:val="21"/>
              </w:rPr>
              <w:t>/</w:t>
            </w:r>
            <w:r>
              <w:rPr>
                <w:rFonts w:hint="eastAsia"/>
                <w:szCs w:val="21"/>
              </w:rPr>
              <w:t>9</w:t>
            </w:r>
            <w:r>
              <w:rPr>
                <w:szCs w:val="21"/>
              </w:rPr>
              <w:t>/30</w:t>
            </w:r>
          </w:p>
        </w:tc>
        <w:tc>
          <w:tcPr>
            <w:tcW w:w="1470" w:type="pct"/>
            <w:shd w:val="clear" w:color="auto" w:fill="auto"/>
            <w:noWrap w:val="0"/>
            <w:vAlign w:val="center"/>
          </w:tcPr>
          <w:p w14:paraId="40D25497">
            <w:pPr>
              <w:jc w:val="right"/>
              <w:rPr>
                <w:szCs w:val="21"/>
              </w:rPr>
            </w:pPr>
            <w:r>
              <w:rPr>
                <w:szCs w:val="21"/>
              </w:rPr>
              <w:t>202</w:t>
            </w:r>
            <w:r>
              <w:rPr>
                <w:rFonts w:hint="eastAsia"/>
                <w:szCs w:val="21"/>
              </w:rPr>
              <w:t>5</w:t>
            </w:r>
            <w:r>
              <w:rPr>
                <w:szCs w:val="21"/>
              </w:rPr>
              <w:t>/</w:t>
            </w:r>
            <w:r>
              <w:rPr>
                <w:rFonts w:hint="eastAsia"/>
                <w:szCs w:val="21"/>
              </w:rPr>
              <w:t>6</w:t>
            </w:r>
            <w:r>
              <w:rPr>
                <w:szCs w:val="21"/>
              </w:rPr>
              <w:t>/3</w:t>
            </w:r>
            <w:r>
              <w:rPr>
                <w:rFonts w:hint="eastAsia"/>
                <w:szCs w:val="21"/>
              </w:rPr>
              <w:t>0</w:t>
            </w:r>
          </w:p>
        </w:tc>
      </w:tr>
    </w:tbl>
    <w:p w14:paraId="584F3B6C">
      <w:pPr>
        <w:spacing w:before="156" w:beforeLines="50" w:line="360" w:lineRule="auto"/>
        <w:ind w:firstLine="482" w:firstLineChars="200"/>
        <w:rPr>
          <w:b/>
          <w:bCs/>
          <w:sz w:val="24"/>
        </w:rPr>
      </w:pPr>
      <w:r>
        <w:rPr>
          <w:b/>
          <w:bCs/>
          <w:sz w:val="24"/>
        </w:rPr>
        <w:t>（二）募投项目实施期限延长的原因</w:t>
      </w:r>
    </w:p>
    <w:p w14:paraId="2E320789">
      <w:pPr>
        <w:spacing w:before="156" w:beforeLines="50" w:line="360" w:lineRule="auto"/>
        <w:ind w:firstLine="480" w:firstLineChars="200"/>
        <w:rPr>
          <w:sz w:val="24"/>
        </w:rPr>
      </w:pPr>
      <w:r>
        <w:rPr>
          <w:sz w:val="24"/>
        </w:rPr>
        <w:t>本次募集资金投资项目在前期虽然经过了充分的可行性论证，但由于宏观环境因素影响，项目整体进度放缓，预计无法在原定计划内完成建设。结合目前募投项目的实施进展以及公司业务发展规划，经审慎研究，</w:t>
      </w:r>
      <w:r>
        <w:rPr>
          <w:rFonts w:hint="eastAsia"/>
          <w:sz w:val="24"/>
        </w:rPr>
        <w:t>公司决定将募投项目达到预定可使用状态的时间延长至 2025 年6月30日。</w:t>
      </w:r>
    </w:p>
    <w:p w14:paraId="3B520AE0">
      <w:pPr>
        <w:spacing w:before="156" w:beforeLines="50" w:line="360" w:lineRule="auto"/>
        <w:ind w:firstLine="482" w:firstLineChars="200"/>
        <w:outlineLvl w:val="0"/>
        <w:rPr>
          <w:b/>
          <w:bCs/>
          <w:sz w:val="24"/>
        </w:rPr>
      </w:pPr>
      <w:r>
        <w:rPr>
          <w:b/>
          <w:bCs/>
          <w:sz w:val="24"/>
        </w:rPr>
        <w:t>五、募投项目实施期限延长的影响</w:t>
      </w:r>
    </w:p>
    <w:p w14:paraId="5E33F3FB">
      <w:pPr>
        <w:spacing w:before="156" w:beforeLines="50" w:line="360" w:lineRule="auto"/>
        <w:ind w:firstLine="480" w:firstLineChars="200"/>
        <w:rPr>
          <w:sz w:val="24"/>
        </w:rPr>
      </w:pPr>
      <w:r>
        <w:rPr>
          <w:sz w:val="24"/>
        </w:rPr>
        <w:t>本次募投项目延期是公司根据客观原因和项目实施的实际情况做出的审慎决定，未改变募投项目的实施主体、募集资金投资用途和投资规模，不会对募投项目的实施造成实质性影响。本次调整不存在改变或变相改变募集资金用途和损害股东利益的情形，不会对公司的正常经营产生不利影响。公司将加强对相关项目建设进度的监督，使项目按新的计划进行建设，早日达到预定可使用状态，并实现预期效果。</w:t>
      </w:r>
    </w:p>
    <w:p w14:paraId="7907076E">
      <w:pPr>
        <w:spacing w:before="156" w:beforeLines="50" w:line="360" w:lineRule="auto"/>
        <w:ind w:firstLine="482" w:firstLineChars="200"/>
        <w:outlineLvl w:val="0"/>
        <w:rPr>
          <w:b/>
          <w:bCs/>
          <w:sz w:val="24"/>
        </w:rPr>
      </w:pPr>
      <w:r>
        <w:rPr>
          <w:b/>
          <w:bCs/>
          <w:sz w:val="24"/>
        </w:rPr>
        <w:t>六、审议程序及审议意见</w:t>
      </w:r>
    </w:p>
    <w:p w14:paraId="7569C52F">
      <w:pPr>
        <w:spacing w:before="156" w:beforeLines="50" w:line="360" w:lineRule="auto"/>
        <w:ind w:firstLine="482" w:firstLineChars="200"/>
        <w:rPr>
          <w:b/>
          <w:bCs/>
          <w:sz w:val="24"/>
        </w:rPr>
      </w:pPr>
      <w:r>
        <w:rPr>
          <w:rFonts w:hint="eastAsia"/>
          <w:b/>
          <w:bCs/>
          <w:sz w:val="24"/>
        </w:rPr>
        <w:t>（一）董事会审议情况</w:t>
      </w:r>
    </w:p>
    <w:p w14:paraId="316AFC25">
      <w:pPr>
        <w:spacing w:before="156" w:beforeLines="50" w:line="360" w:lineRule="auto"/>
        <w:ind w:firstLine="480" w:firstLineChars="200"/>
        <w:rPr>
          <w:sz w:val="24"/>
        </w:rPr>
      </w:pPr>
      <w:r>
        <w:rPr>
          <w:rFonts w:hint="eastAsia"/>
          <w:sz w:val="24"/>
        </w:rPr>
        <w:t>公司第八届董事会第九次会议审议通过了《关于募投项目延期的议案》，同意公司对募投项目达到预计可使用状态的日期进行调整。</w:t>
      </w:r>
    </w:p>
    <w:p w14:paraId="3394445A">
      <w:pPr>
        <w:spacing w:before="156" w:beforeLines="50" w:line="360" w:lineRule="auto"/>
        <w:ind w:firstLine="482" w:firstLineChars="200"/>
        <w:rPr>
          <w:b/>
          <w:bCs/>
          <w:sz w:val="24"/>
        </w:rPr>
      </w:pPr>
      <w:r>
        <w:rPr>
          <w:rFonts w:hint="eastAsia"/>
          <w:b/>
          <w:bCs/>
          <w:sz w:val="24"/>
        </w:rPr>
        <w:t>（二）监事会意见</w:t>
      </w:r>
    </w:p>
    <w:p w14:paraId="387C2AFF">
      <w:pPr>
        <w:spacing w:before="156" w:beforeLines="50" w:line="360" w:lineRule="auto"/>
        <w:ind w:firstLine="480" w:firstLineChars="200"/>
        <w:rPr>
          <w:rFonts w:hint="eastAsia"/>
          <w:sz w:val="24"/>
        </w:rPr>
      </w:pPr>
      <w:r>
        <w:rPr>
          <w:rFonts w:hint="eastAsia"/>
          <w:sz w:val="24"/>
        </w:rPr>
        <w:t>公司第八届监事会第二十四次会议审议通过了《关于募投项目延期的议案》。监事会认为：公司本次募投项目延期是公司根据募投项目实际进展作出的审慎决定，符合公司实际情况，不会对公司正常经营产生重大不利影响。本次募投项目延期不涉及募投项目实施主体、实施方式、投资总额的变更，不存在改变或变相改变募集资金用途和损害股东利益的情形，不存在违反中国证监会、深圳证券交易所关于上市公司募集资金使用有关规定的情形。公司监事会一致同意公司本次募投项目延期事项。</w:t>
      </w:r>
    </w:p>
    <w:p w14:paraId="68534F60">
      <w:pPr>
        <w:spacing w:before="156" w:beforeLines="50" w:line="360" w:lineRule="auto"/>
        <w:ind w:firstLine="482" w:firstLineChars="200"/>
        <w:outlineLvl w:val="0"/>
        <w:rPr>
          <w:b/>
          <w:bCs/>
          <w:sz w:val="24"/>
        </w:rPr>
      </w:pPr>
      <w:r>
        <w:rPr>
          <w:b/>
          <w:bCs/>
          <w:sz w:val="24"/>
        </w:rPr>
        <w:t>七、保荐机构核查意见</w:t>
      </w:r>
    </w:p>
    <w:p w14:paraId="1A3E85F6">
      <w:pPr>
        <w:spacing w:before="156" w:beforeLines="50" w:line="360" w:lineRule="auto"/>
        <w:ind w:firstLine="480" w:firstLineChars="200"/>
        <w:rPr>
          <w:sz w:val="24"/>
        </w:rPr>
      </w:pPr>
      <w:r>
        <w:rPr>
          <w:sz w:val="24"/>
        </w:rPr>
        <w:t>经核查，保荐机构认为，公司本次募投项目延期是根据募投项目实际情况做出的审慎决定，已履行了必要的审议程序，符合《上市公司监管指引第 2 号——上市公司募集资金管理和使用的监管要求》《深圳证券交易所上市公司自律监管指引第 1 号——主板上市公司规范运作》等法律、法规、规范性文件及公司有关管理制度的要求，不存在变相改变募集资金投向或损害股东利益的情形。综上，保荐机构对公司本次募投项目延期事项无异议。</w:t>
      </w:r>
    </w:p>
    <w:p w14:paraId="3894EF99">
      <w:pPr>
        <w:spacing w:before="156" w:beforeLines="50" w:line="360" w:lineRule="auto"/>
        <w:ind w:firstLine="480" w:firstLineChars="200"/>
        <w:rPr>
          <w:sz w:val="24"/>
          <w:szCs w:val="32"/>
        </w:rPr>
      </w:pPr>
    </w:p>
    <w:p w14:paraId="19F38DC7">
      <w:pPr>
        <w:spacing w:before="156" w:beforeLines="50" w:line="360" w:lineRule="auto"/>
        <w:ind w:firstLine="480" w:firstLineChars="200"/>
        <w:rPr>
          <w:sz w:val="24"/>
          <w:szCs w:val="32"/>
        </w:rPr>
      </w:pPr>
      <w:r>
        <w:rPr>
          <w:sz w:val="24"/>
          <w:szCs w:val="32"/>
        </w:rPr>
        <w:br w:type="page"/>
      </w:r>
      <w:r>
        <w:rPr>
          <w:sz w:val="24"/>
          <w:szCs w:val="32"/>
        </w:rPr>
        <w:t>（本页无正文，为《华泰联合证券有限责任公司关于华孚时尚股份有限公司</w:t>
      </w:r>
      <w:bookmarkStart w:id="0" w:name="_GoBack"/>
      <w:bookmarkEnd w:id="0"/>
      <w:r>
        <w:rPr>
          <w:sz w:val="24"/>
          <w:szCs w:val="32"/>
        </w:rPr>
        <w:t>募投项目延期的核查意见》签章页）</w:t>
      </w:r>
    </w:p>
    <w:p w14:paraId="556AFCAB">
      <w:pPr>
        <w:spacing w:line="480" w:lineRule="auto"/>
        <w:ind w:left="1050"/>
        <w:rPr>
          <w:sz w:val="24"/>
          <w:szCs w:val="32"/>
        </w:rPr>
      </w:pPr>
    </w:p>
    <w:p w14:paraId="1549D5E6">
      <w:pPr>
        <w:spacing w:line="480" w:lineRule="auto"/>
        <w:ind w:left="1050"/>
        <w:rPr>
          <w:sz w:val="24"/>
          <w:szCs w:val="32"/>
        </w:rPr>
      </w:pPr>
    </w:p>
    <w:p w14:paraId="432C67A0">
      <w:pPr>
        <w:spacing w:line="480" w:lineRule="auto"/>
        <w:ind w:left="1050"/>
        <w:rPr>
          <w:sz w:val="24"/>
          <w:szCs w:val="32"/>
        </w:rPr>
      </w:pPr>
    </w:p>
    <w:p w14:paraId="0EE42497">
      <w:pPr>
        <w:spacing w:line="240" w:lineRule="atLeast"/>
        <w:ind w:left="360"/>
        <w:rPr>
          <w:sz w:val="24"/>
          <w:szCs w:val="32"/>
        </w:rPr>
      </w:pPr>
    </w:p>
    <w:p w14:paraId="0FDEFB27">
      <w:pPr>
        <w:adjustRightInd w:val="0"/>
        <w:snapToGrid w:val="0"/>
        <w:spacing w:line="360" w:lineRule="auto"/>
        <w:ind w:firstLine="480" w:firstLineChars="200"/>
        <w:rPr>
          <w:sz w:val="24"/>
          <w:szCs w:val="32"/>
        </w:rPr>
      </w:pPr>
      <w:r>
        <w:rPr>
          <w:sz w:val="24"/>
          <w:szCs w:val="32"/>
        </w:rPr>
        <w:t xml:space="preserve">保荐代表人：     </w:t>
      </w:r>
      <w:r>
        <w:rPr>
          <w:sz w:val="24"/>
          <w:szCs w:val="32"/>
          <w:u w:val="single"/>
        </w:rPr>
        <w:t xml:space="preserve">                </w:t>
      </w:r>
      <w:r>
        <w:rPr>
          <w:sz w:val="24"/>
          <w:szCs w:val="32"/>
        </w:rPr>
        <w:t xml:space="preserve">  </w:t>
      </w:r>
      <w:r>
        <w:rPr>
          <w:sz w:val="24"/>
          <w:szCs w:val="32"/>
          <w:u w:val="single"/>
        </w:rPr>
        <w:t xml:space="preserve">              </w:t>
      </w:r>
    </w:p>
    <w:p w14:paraId="5E5E9293">
      <w:pPr>
        <w:adjustRightInd w:val="0"/>
        <w:snapToGrid w:val="0"/>
        <w:spacing w:line="360" w:lineRule="auto"/>
        <w:ind w:firstLine="3300" w:firstLineChars="1375"/>
        <w:rPr>
          <w:sz w:val="24"/>
          <w:szCs w:val="32"/>
        </w:rPr>
      </w:pPr>
      <w:r>
        <w:rPr>
          <w:sz w:val="24"/>
          <w:szCs w:val="32"/>
        </w:rPr>
        <w:t>牟晶             於桑琦</w:t>
      </w:r>
    </w:p>
    <w:p w14:paraId="50EAD580">
      <w:pPr>
        <w:adjustRightInd w:val="0"/>
        <w:snapToGrid w:val="0"/>
        <w:spacing w:line="360" w:lineRule="auto"/>
        <w:ind w:firstLine="2880" w:firstLineChars="1200"/>
        <w:rPr>
          <w:sz w:val="24"/>
          <w:szCs w:val="32"/>
        </w:rPr>
      </w:pPr>
      <w:r>
        <w:rPr>
          <w:sz w:val="24"/>
          <w:szCs w:val="32"/>
        </w:rPr>
        <w:t xml:space="preserve">                  </w:t>
      </w:r>
    </w:p>
    <w:p w14:paraId="5B372BBD">
      <w:pPr>
        <w:adjustRightInd w:val="0"/>
        <w:snapToGrid w:val="0"/>
        <w:spacing w:line="360" w:lineRule="auto"/>
        <w:ind w:firstLine="2880" w:firstLineChars="1200"/>
        <w:rPr>
          <w:sz w:val="24"/>
          <w:szCs w:val="32"/>
        </w:rPr>
      </w:pPr>
    </w:p>
    <w:p w14:paraId="068AD8DE">
      <w:pPr>
        <w:spacing w:line="240" w:lineRule="atLeast"/>
        <w:ind w:left="360"/>
        <w:rPr>
          <w:rFonts w:eastAsia="黑体"/>
          <w:sz w:val="24"/>
          <w:szCs w:val="32"/>
        </w:rPr>
      </w:pPr>
    </w:p>
    <w:p w14:paraId="494AB7E8">
      <w:pPr>
        <w:spacing w:line="240" w:lineRule="atLeast"/>
        <w:ind w:left="360"/>
        <w:rPr>
          <w:rFonts w:eastAsia="黑体"/>
          <w:sz w:val="24"/>
          <w:szCs w:val="32"/>
        </w:rPr>
      </w:pPr>
    </w:p>
    <w:p w14:paraId="292066EE">
      <w:pPr>
        <w:spacing w:line="240" w:lineRule="atLeast"/>
        <w:ind w:left="360"/>
        <w:rPr>
          <w:rFonts w:eastAsia="黑体"/>
          <w:sz w:val="24"/>
          <w:szCs w:val="32"/>
        </w:rPr>
      </w:pPr>
    </w:p>
    <w:p w14:paraId="5F2F4D2F">
      <w:pPr>
        <w:spacing w:line="240" w:lineRule="atLeast"/>
        <w:ind w:left="360"/>
        <w:jc w:val="right"/>
        <w:rPr>
          <w:sz w:val="24"/>
          <w:szCs w:val="32"/>
        </w:rPr>
      </w:pPr>
    </w:p>
    <w:p w14:paraId="6A53950D">
      <w:pPr>
        <w:spacing w:line="240" w:lineRule="atLeast"/>
        <w:ind w:left="360"/>
        <w:jc w:val="right"/>
        <w:rPr>
          <w:sz w:val="24"/>
          <w:szCs w:val="32"/>
        </w:rPr>
      </w:pPr>
      <w:r>
        <w:rPr>
          <w:sz w:val="24"/>
          <w:szCs w:val="32"/>
        </w:rPr>
        <w:t>华泰联合证券有限责任公司</w:t>
      </w:r>
    </w:p>
    <w:p w14:paraId="4DAD4653">
      <w:pPr>
        <w:spacing w:line="240" w:lineRule="atLeast"/>
        <w:ind w:left="360"/>
        <w:rPr>
          <w:sz w:val="24"/>
          <w:szCs w:val="32"/>
        </w:rPr>
      </w:pPr>
      <w:r>
        <w:rPr>
          <w:sz w:val="24"/>
          <w:szCs w:val="32"/>
        </w:rPr>
        <w:t xml:space="preserve">                                                      </w:t>
      </w:r>
    </w:p>
    <w:p w14:paraId="217B622D">
      <w:pPr>
        <w:spacing w:line="240" w:lineRule="atLeast"/>
        <w:rPr>
          <w:sz w:val="24"/>
          <w:szCs w:val="32"/>
        </w:rPr>
      </w:pPr>
    </w:p>
    <w:p w14:paraId="139FCD2C">
      <w:pPr>
        <w:spacing w:line="240" w:lineRule="atLeast"/>
        <w:jc w:val="right"/>
        <w:rPr>
          <w:sz w:val="24"/>
          <w:szCs w:val="32"/>
        </w:rPr>
      </w:pPr>
      <w:r>
        <w:rPr>
          <w:sz w:val="24"/>
          <w:szCs w:val="32"/>
        </w:rPr>
        <w:t xml:space="preserve">                                                   年     月     日</w:t>
      </w:r>
    </w:p>
    <w:p w14:paraId="4059F258"/>
    <w:sectPr>
      <w:headerReference r:id="rId3" w:type="first"/>
      <w:footerReference r:id="rId4" w:type="default"/>
      <w:footerReference r:id="rId5"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DDB3C">
    <w:pPr>
      <w:pStyle w:val="13"/>
      <w:jc w:val="center"/>
    </w:pPr>
    <w:r>
      <w:fldChar w:fldCharType="begin"/>
    </w:r>
    <w:r>
      <w:instrText xml:space="preserve">PAGE   \* MERGEFORMAT</w:instrText>
    </w:r>
    <w:r>
      <w:fldChar w:fldCharType="separate"/>
    </w:r>
    <w:r>
      <w:rPr>
        <w:lang w:val="zh-CN"/>
      </w:rPr>
      <w:t>1</w:t>
    </w:r>
    <w:r>
      <w:fldChar w:fldCharType="end"/>
    </w:r>
  </w:p>
  <w:p w14:paraId="7228A794">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49EF7">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46505179">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A2FB1">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egacy w:legacy="1" w:legacySpace="0" w:legacyIndent="425"/>
      <w:lvlJc w:val="left"/>
      <w:pPr>
        <w:ind w:left="425" w:hanging="425"/>
      </w:pPr>
    </w:lvl>
    <w:lvl w:ilvl="1" w:tentative="0">
      <w:start w:val="1"/>
      <w:numFmt w:val="upperLetter"/>
      <w:lvlText w:val="%2."/>
      <w:legacy w:legacy="1" w:legacySpace="0" w:legacyIndent="425"/>
      <w:lvlJc w:val="left"/>
      <w:pPr>
        <w:ind w:left="850" w:hanging="425"/>
      </w:pPr>
    </w:lvl>
    <w:lvl w:ilvl="2" w:tentative="0">
      <w:start w:val="1"/>
      <w:numFmt w:val="decimal"/>
      <w:lvlText w:val="%3."/>
      <w:legacy w:legacy="1" w:legacySpace="0" w:legacyIndent="425"/>
      <w:lvlJc w:val="left"/>
      <w:pPr>
        <w:ind w:hanging="425"/>
      </w:pPr>
    </w:lvl>
    <w:lvl w:ilvl="3" w:tentative="0">
      <w:start w:val="1"/>
      <w:numFmt w:val="lowerLetter"/>
      <w:pStyle w:val="4"/>
      <w:lvlText w:val="%4)"/>
      <w:legacy w:legacy="1" w:legacySpace="0" w:legacyIndent="425"/>
      <w:lvlJc w:val="left"/>
      <w:pPr>
        <w:ind w:left="1700" w:hanging="425"/>
      </w:pPr>
    </w:lvl>
    <w:lvl w:ilvl="4" w:tentative="0">
      <w:start w:val="1"/>
      <w:numFmt w:val="decimal"/>
      <w:pStyle w:val="5"/>
      <w:lvlText w:val="(%5)"/>
      <w:legacy w:legacy="1" w:legacySpace="0" w:legacyIndent="425"/>
      <w:lvlJc w:val="left"/>
      <w:pPr>
        <w:ind w:left="2125" w:hanging="425"/>
      </w:pPr>
    </w:lvl>
    <w:lvl w:ilvl="5" w:tentative="0">
      <w:start w:val="1"/>
      <w:numFmt w:val="lowerLetter"/>
      <w:pStyle w:val="6"/>
      <w:lvlText w:val="(%6)"/>
      <w:legacy w:legacy="1" w:legacySpace="0" w:legacyIndent="425"/>
      <w:lvlJc w:val="left"/>
      <w:pPr>
        <w:ind w:left="2550" w:hanging="425"/>
      </w:pPr>
    </w:lvl>
    <w:lvl w:ilvl="6" w:tentative="0">
      <w:start w:val="1"/>
      <w:numFmt w:val="lowerRoman"/>
      <w:pStyle w:val="7"/>
      <w:lvlText w:val="(%7)"/>
      <w:legacy w:legacy="1" w:legacySpace="1" w:legacyIndent="425"/>
      <w:lvlJc w:val="left"/>
      <w:pPr>
        <w:ind w:left="2975" w:hanging="425"/>
      </w:pPr>
    </w:lvl>
    <w:lvl w:ilvl="7" w:tentative="0">
      <w:start w:val="1"/>
      <w:numFmt w:val="lowerLetter"/>
      <w:pStyle w:val="8"/>
      <w:lvlText w:val="(%8)"/>
      <w:legacy w:legacy="1" w:legacySpace="0" w:legacyIndent="425"/>
      <w:lvlJc w:val="left"/>
      <w:pPr>
        <w:ind w:left="3400" w:hanging="425"/>
      </w:pPr>
    </w:lvl>
    <w:lvl w:ilvl="8" w:tentative="0">
      <w:start w:val="1"/>
      <w:numFmt w:val="lowerRoman"/>
      <w:pStyle w:val="9"/>
      <w:lvlText w:val="(%9)"/>
      <w:legacy w:legacy="1" w:legacySpace="0" w:legacyIndent="425"/>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B43B2B"/>
    <w:rsid w:val="0001081F"/>
    <w:rsid w:val="00011497"/>
    <w:rsid w:val="0001150F"/>
    <w:rsid w:val="000176CD"/>
    <w:rsid w:val="0003617C"/>
    <w:rsid w:val="00043864"/>
    <w:rsid w:val="00044EA8"/>
    <w:rsid w:val="00060E20"/>
    <w:rsid w:val="00066D31"/>
    <w:rsid w:val="000673AE"/>
    <w:rsid w:val="00083440"/>
    <w:rsid w:val="0008555E"/>
    <w:rsid w:val="00094103"/>
    <w:rsid w:val="000A2CFB"/>
    <w:rsid w:val="000C23E9"/>
    <w:rsid w:val="000C3880"/>
    <w:rsid w:val="000E1DB0"/>
    <w:rsid w:val="000F18EA"/>
    <w:rsid w:val="00102FBF"/>
    <w:rsid w:val="0010387B"/>
    <w:rsid w:val="001161E3"/>
    <w:rsid w:val="00131A0D"/>
    <w:rsid w:val="00144F19"/>
    <w:rsid w:val="00145CDB"/>
    <w:rsid w:val="00146A5B"/>
    <w:rsid w:val="001554A8"/>
    <w:rsid w:val="001721A1"/>
    <w:rsid w:val="00190105"/>
    <w:rsid w:val="001902B5"/>
    <w:rsid w:val="00191740"/>
    <w:rsid w:val="0019292B"/>
    <w:rsid w:val="00194A70"/>
    <w:rsid w:val="001B0C96"/>
    <w:rsid w:val="001B2407"/>
    <w:rsid w:val="001B6478"/>
    <w:rsid w:val="001C0EF6"/>
    <w:rsid w:val="001C4446"/>
    <w:rsid w:val="001D0A78"/>
    <w:rsid w:val="001D0EFD"/>
    <w:rsid w:val="001D1FAF"/>
    <w:rsid w:val="001D711F"/>
    <w:rsid w:val="001E7E7C"/>
    <w:rsid w:val="001F0A14"/>
    <w:rsid w:val="001F15A8"/>
    <w:rsid w:val="001F1DFC"/>
    <w:rsid w:val="001F500F"/>
    <w:rsid w:val="001F7D5E"/>
    <w:rsid w:val="00207230"/>
    <w:rsid w:val="00215C3F"/>
    <w:rsid w:val="00215DD8"/>
    <w:rsid w:val="0022613A"/>
    <w:rsid w:val="00231990"/>
    <w:rsid w:val="00235BD1"/>
    <w:rsid w:val="0024553D"/>
    <w:rsid w:val="00247547"/>
    <w:rsid w:val="00250A26"/>
    <w:rsid w:val="00252E51"/>
    <w:rsid w:val="0025404A"/>
    <w:rsid w:val="0026710C"/>
    <w:rsid w:val="0027030C"/>
    <w:rsid w:val="00273095"/>
    <w:rsid w:val="0027381A"/>
    <w:rsid w:val="00277A99"/>
    <w:rsid w:val="00280F41"/>
    <w:rsid w:val="00284FA4"/>
    <w:rsid w:val="00293031"/>
    <w:rsid w:val="002A1222"/>
    <w:rsid w:val="002A2B92"/>
    <w:rsid w:val="002A392F"/>
    <w:rsid w:val="002B788F"/>
    <w:rsid w:val="002D66A1"/>
    <w:rsid w:val="002E4D04"/>
    <w:rsid w:val="002F0122"/>
    <w:rsid w:val="002F6623"/>
    <w:rsid w:val="002F6AAC"/>
    <w:rsid w:val="00310F75"/>
    <w:rsid w:val="00316B53"/>
    <w:rsid w:val="003211FC"/>
    <w:rsid w:val="003408EC"/>
    <w:rsid w:val="0034500C"/>
    <w:rsid w:val="00345A67"/>
    <w:rsid w:val="0036484C"/>
    <w:rsid w:val="00371560"/>
    <w:rsid w:val="003779A6"/>
    <w:rsid w:val="00381474"/>
    <w:rsid w:val="0038736C"/>
    <w:rsid w:val="00392681"/>
    <w:rsid w:val="00394107"/>
    <w:rsid w:val="00397C21"/>
    <w:rsid w:val="003A014B"/>
    <w:rsid w:val="003A1EB7"/>
    <w:rsid w:val="003A446A"/>
    <w:rsid w:val="003A4BFD"/>
    <w:rsid w:val="003A5024"/>
    <w:rsid w:val="003C3AC9"/>
    <w:rsid w:val="003D1A72"/>
    <w:rsid w:val="003D34A6"/>
    <w:rsid w:val="003E0525"/>
    <w:rsid w:val="003E4E5C"/>
    <w:rsid w:val="004128AC"/>
    <w:rsid w:val="00425908"/>
    <w:rsid w:val="0044312B"/>
    <w:rsid w:val="00443CAD"/>
    <w:rsid w:val="00443E45"/>
    <w:rsid w:val="0046227D"/>
    <w:rsid w:val="004629F7"/>
    <w:rsid w:val="00464329"/>
    <w:rsid w:val="004647FE"/>
    <w:rsid w:val="0047024C"/>
    <w:rsid w:val="004717EE"/>
    <w:rsid w:val="00472C0B"/>
    <w:rsid w:val="004946A0"/>
    <w:rsid w:val="00495309"/>
    <w:rsid w:val="00497EF4"/>
    <w:rsid w:val="004A06B1"/>
    <w:rsid w:val="004A3372"/>
    <w:rsid w:val="004B0D78"/>
    <w:rsid w:val="004B72B7"/>
    <w:rsid w:val="004D222C"/>
    <w:rsid w:val="004D529D"/>
    <w:rsid w:val="004E12FB"/>
    <w:rsid w:val="004E2B73"/>
    <w:rsid w:val="004F3545"/>
    <w:rsid w:val="00501411"/>
    <w:rsid w:val="005020D1"/>
    <w:rsid w:val="005071D1"/>
    <w:rsid w:val="005145D4"/>
    <w:rsid w:val="00527577"/>
    <w:rsid w:val="00533E55"/>
    <w:rsid w:val="00545427"/>
    <w:rsid w:val="0054704D"/>
    <w:rsid w:val="005526E3"/>
    <w:rsid w:val="00553DD4"/>
    <w:rsid w:val="005579FC"/>
    <w:rsid w:val="005601E4"/>
    <w:rsid w:val="00564FFA"/>
    <w:rsid w:val="00582D29"/>
    <w:rsid w:val="00594F63"/>
    <w:rsid w:val="005A3891"/>
    <w:rsid w:val="005A48D2"/>
    <w:rsid w:val="005B61B2"/>
    <w:rsid w:val="005C7FBF"/>
    <w:rsid w:val="005E59E8"/>
    <w:rsid w:val="005E62F9"/>
    <w:rsid w:val="0060362D"/>
    <w:rsid w:val="00615F98"/>
    <w:rsid w:val="00616520"/>
    <w:rsid w:val="00624A0C"/>
    <w:rsid w:val="00625505"/>
    <w:rsid w:val="006277F6"/>
    <w:rsid w:val="006435C9"/>
    <w:rsid w:val="00646B33"/>
    <w:rsid w:val="00650EA0"/>
    <w:rsid w:val="00653510"/>
    <w:rsid w:val="00655FC3"/>
    <w:rsid w:val="0066649C"/>
    <w:rsid w:val="00685C67"/>
    <w:rsid w:val="006945A1"/>
    <w:rsid w:val="00695C6B"/>
    <w:rsid w:val="0069654C"/>
    <w:rsid w:val="006A1B96"/>
    <w:rsid w:val="006B37B3"/>
    <w:rsid w:val="006B4416"/>
    <w:rsid w:val="006B4DA7"/>
    <w:rsid w:val="006C09CA"/>
    <w:rsid w:val="006C15A9"/>
    <w:rsid w:val="006E02CE"/>
    <w:rsid w:val="006E0573"/>
    <w:rsid w:val="00701F12"/>
    <w:rsid w:val="007105C6"/>
    <w:rsid w:val="007141E5"/>
    <w:rsid w:val="00715EFE"/>
    <w:rsid w:val="00721881"/>
    <w:rsid w:val="00724AC0"/>
    <w:rsid w:val="00733AA6"/>
    <w:rsid w:val="007349E4"/>
    <w:rsid w:val="0075193A"/>
    <w:rsid w:val="00763C1E"/>
    <w:rsid w:val="00776563"/>
    <w:rsid w:val="0077780B"/>
    <w:rsid w:val="00782053"/>
    <w:rsid w:val="007915D4"/>
    <w:rsid w:val="007942E9"/>
    <w:rsid w:val="007B5925"/>
    <w:rsid w:val="007C1C3B"/>
    <w:rsid w:val="007C5B2B"/>
    <w:rsid w:val="007C61F6"/>
    <w:rsid w:val="007D0CC9"/>
    <w:rsid w:val="007D4DA2"/>
    <w:rsid w:val="007D7AB3"/>
    <w:rsid w:val="007E179F"/>
    <w:rsid w:val="007E4066"/>
    <w:rsid w:val="007E5B3E"/>
    <w:rsid w:val="007E79C8"/>
    <w:rsid w:val="007F607A"/>
    <w:rsid w:val="00804ED3"/>
    <w:rsid w:val="00814357"/>
    <w:rsid w:val="00817951"/>
    <w:rsid w:val="0082054F"/>
    <w:rsid w:val="008231DD"/>
    <w:rsid w:val="00825704"/>
    <w:rsid w:val="00844C6D"/>
    <w:rsid w:val="008466AA"/>
    <w:rsid w:val="00847599"/>
    <w:rsid w:val="00875987"/>
    <w:rsid w:val="00877F15"/>
    <w:rsid w:val="008846A1"/>
    <w:rsid w:val="00884DBF"/>
    <w:rsid w:val="008865AF"/>
    <w:rsid w:val="0089620C"/>
    <w:rsid w:val="008A0ED9"/>
    <w:rsid w:val="008A10CA"/>
    <w:rsid w:val="008A5B4B"/>
    <w:rsid w:val="008B1D9A"/>
    <w:rsid w:val="008B3646"/>
    <w:rsid w:val="008B647B"/>
    <w:rsid w:val="008B7FC2"/>
    <w:rsid w:val="008C1A59"/>
    <w:rsid w:val="008D340E"/>
    <w:rsid w:val="008D3699"/>
    <w:rsid w:val="008F2441"/>
    <w:rsid w:val="00900DED"/>
    <w:rsid w:val="0090454C"/>
    <w:rsid w:val="00906898"/>
    <w:rsid w:val="00910A3E"/>
    <w:rsid w:val="0093460F"/>
    <w:rsid w:val="0093482E"/>
    <w:rsid w:val="00937563"/>
    <w:rsid w:val="0095311D"/>
    <w:rsid w:val="00960373"/>
    <w:rsid w:val="00961E54"/>
    <w:rsid w:val="00962A41"/>
    <w:rsid w:val="009667A1"/>
    <w:rsid w:val="00970755"/>
    <w:rsid w:val="009849D6"/>
    <w:rsid w:val="00984F21"/>
    <w:rsid w:val="0098507B"/>
    <w:rsid w:val="00994912"/>
    <w:rsid w:val="009A0C10"/>
    <w:rsid w:val="009A36B8"/>
    <w:rsid w:val="009B21FD"/>
    <w:rsid w:val="009C49FB"/>
    <w:rsid w:val="009D6549"/>
    <w:rsid w:val="009E51D2"/>
    <w:rsid w:val="009E7D40"/>
    <w:rsid w:val="009F151C"/>
    <w:rsid w:val="00A06E94"/>
    <w:rsid w:val="00A13329"/>
    <w:rsid w:val="00A16349"/>
    <w:rsid w:val="00A16E35"/>
    <w:rsid w:val="00A23A9F"/>
    <w:rsid w:val="00A25F65"/>
    <w:rsid w:val="00A25F79"/>
    <w:rsid w:val="00A40C17"/>
    <w:rsid w:val="00A42C51"/>
    <w:rsid w:val="00A432F1"/>
    <w:rsid w:val="00A52520"/>
    <w:rsid w:val="00A87CF0"/>
    <w:rsid w:val="00AA3728"/>
    <w:rsid w:val="00AB23C4"/>
    <w:rsid w:val="00AB2CD3"/>
    <w:rsid w:val="00AB4E77"/>
    <w:rsid w:val="00AC70D1"/>
    <w:rsid w:val="00AD0B84"/>
    <w:rsid w:val="00AD6AB7"/>
    <w:rsid w:val="00AE196A"/>
    <w:rsid w:val="00B03177"/>
    <w:rsid w:val="00B04B49"/>
    <w:rsid w:val="00B3597D"/>
    <w:rsid w:val="00B41923"/>
    <w:rsid w:val="00B43B2B"/>
    <w:rsid w:val="00B50473"/>
    <w:rsid w:val="00B51F86"/>
    <w:rsid w:val="00B64FC4"/>
    <w:rsid w:val="00B85A97"/>
    <w:rsid w:val="00B87EE1"/>
    <w:rsid w:val="00B916C9"/>
    <w:rsid w:val="00B92207"/>
    <w:rsid w:val="00BA7F6B"/>
    <w:rsid w:val="00BB64DA"/>
    <w:rsid w:val="00BC713B"/>
    <w:rsid w:val="00BD0C6F"/>
    <w:rsid w:val="00BD67A9"/>
    <w:rsid w:val="00BE13D3"/>
    <w:rsid w:val="00BF2A85"/>
    <w:rsid w:val="00BF4A58"/>
    <w:rsid w:val="00BF6B72"/>
    <w:rsid w:val="00C031B4"/>
    <w:rsid w:val="00C2637B"/>
    <w:rsid w:val="00C34702"/>
    <w:rsid w:val="00C421EB"/>
    <w:rsid w:val="00C50EF9"/>
    <w:rsid w:val="00C52109"/>
    <w:rsid w:val="00C56A83"/>
    <w:rsid w:val="00C574B1"/>
    <w:rsid w:val="00C934C8"/>
    <w:rsid w:val="00C96F88"/>
    <w:rsid w:val="00CA6397"/>
    <w:rsid w:val="00CB52DA"/>
    <w:rsid w:val="00CC07C3"/>
    <w:rsid w:val="00CC6BF4"/>
    <w:rsid w:val="00CF5293"/>
    <w:rsid w:val="00D04DDA"/>
    <w:rsid w:val="00D06900"/>
    <w:rsid w:val="00D10144"/>
    <w:rsid w:val="00D1434D"/>
    <w:rsid w:val="00D15BDA"/>
    <w:rsid w:val="00D1607C"/>
    <w:rsid w:val="00D311D1"/>
    <w:rsid w:val="00D31F23"/>
    <w:rsid w:val="00D37677"/>
    <w:rsid w:val="00D56DAC"/>
    <w:rsid w:val="00D66D05"/>
    <w:rsid w:val="00D845CF"/>
    <w:rsid w:val="00DA027F"/>
    <w:rsid w:val="00DA0E8F"/>
    <w:rsid w:val="00DA322E"/>
    <w:rsid w:val="00DA4019"/>
    <w:rsid w:val="00DC2497"/>
    <w:rsid w:val="00DC6072"/>
    <w:rsid w:val="00DD7132"/>
    <w:rsid w:val="00DE08CE"/>
    <w:rsid w:val="00DE1493"/>
    <w:rsid w:val="00DE7A49"/>
    <w:rsid w:val="00DF1168"/>
    <w:rsid w:val="00DF4BF7"/>
    <w:rsid w:val="00DF7D4F"/>
    <w:rsid w:val="00E05E0D"/>
    <w:rsid w:val="00E240EB"/>
    <w:rsid w:val="00E27A8B"/>
    <w:rsid w:val="00E37F99"/>
    <w:rsid w:val="00E43CA8"/>
    <w:rsid w:val="00E452B2"/>
    <w:rsid w:val="00E460BD"/>
    <w:rsid w:val="00E53380"/>
    <w:rsid w:val="00E82478"/>
    <w:rsid w:val="00E86ECC"/>
    <w:rsid w:val="00EA7F17"/>
    <w:rsid w:val="00EB3887"/>
    <w:rsid w:val="00EC7FA8"/>
    <w:rsid w:val="00F07D46"/>
    <w:rsid w:val="00F203B3"/>
    <w:rsid w:val="00F26E58"/>
    <w:rsid w:val="00F34277"/>
    <w:rsid w:val="00F412DA"/>
    <w:rsid w:val="00F4162D"/>
    <w:rsid w:val="00F47757"/>
    <w:rsid w:val="00F541D8"/>
    <w:rsid w:val="00F80028"/>
    <w:rsid w:val="00F83A2C"/>
    <w:rsid w:val="00F9133C"/>
    <w:rsid w:val="00FA4D4F"/>
    <w:rsid w:val="00FC5F08"/>
    <w:rsid w:val="00FC67CD"/>
    <w:rsid w:val="00FD67E5"/>
    <w:rsid w:val="00FE016B"/>
    <w:rsid w:val="00FE4883"/>
    <w:rsid w:val="00FE66E7"/>
    <w:rsid w:val="00FF3435"/>
    <w:rsid w:val="00FF4E30"/>
    <w:rsid w:val="00FF5A2E"/>
    <w:rsid w:val="029912DD"/>
    <w:rsid w:val="311519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7"/>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8"/>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numPr>
        <w:ilvl w:val="3"/>
        <w:numId w:val="1"/>
      </w:numPr>
      <w:adjustRightInd w:val="0"/>
      <w:spacing w:before="280" w:after="290" w:line="376" w:lineRule="atLeast"/>
      <w:textAlignment w:val="baseline"/>
      <w:outlineLvl w:val="3"/>
    </w:pPr>
    <w:rPr>
      <w:rFonts w:ascii="Arial" w:hAnsi="Arial" w:eastAsia="黑体"/>
      <w:b/>
      <w:kern w:val="0"/>
      <w:sz w:val="28"/>
      <w:szCs w:val="20"/>
    </w:rPr>
  </w:style>
  <w:style w:type="paragraph" w:styleId="5">
    <w:name w:val="heading 5"/>
    <w:basedOn w:val="1"/>
    <w:next w:val="1"/>
    <w:qFormat/>
    <w:uiPriority w:val="0"/>
    <w:pPr>
      <w:keepNext/>
      <w:keepLines/>
      <w:numPr>
        <w:ilvl w:val="4"/>
        <w:numId w:val="1"/>
      </w:numPr>
      <w:adjustRightInd w:val="0"/>
      <w:spacing w:before="280" w:after="290" w:line="376" w:lineRule="atLeast"/>
      <w:textAlignment w:val="baseline"/>
      <w:outlineLvl w:val="4"/>
    </w:pPr>
    <w:rPr>
      <w:b/>
      <w:kern w:val="0"/>
      <w:sz w:val="28"/>
      <w:szCs w:val="20"/>
    </w:rPr>
  </w:style>
  <w:style w:type="paragraph" w:styleId="6">
    <w:name w:val="heading 6"/>
    <w:basedOn w:val="1"/>
    <w:next w:val="1"/>
    <w:qFormat/>
    <w:uiPriority w:val="0"/>
    <w:pPr>
      <w:keepNext/>
      <w:keepLines/>
      <w:numPr>
        <w:ilvl w:val="5"/>
        <w:numId w:val="1"/>
      </w:numPr>
      <w:adjustRightInd w:val="0"/>
      <w:spacing w:before="240" w:after="64" w:line="320" w:lineRule="atLeast"/>
      <w:textAlignment w:val="baseline"/>
      <w:outlineLvl w:val="5"/>
    </w:pPr>
    <w:rPr>
      <w:rFonts w:ascii="Arial" w:hAnsi="Arial" w:eastAsia="黑体"/>
      <w:b/>
      <w:kern w:val="0"/>
      <w:sz w:val="24"/>
      <w:szCs w:val="20"/>
    </w:rPr>
  </w:style>
  <w:style w:type="paragraph" w:styleId="7">
    <w:name w:val="heading 7"/>
    <w:basedOn w:val="1"/>
    <w:next w:val="1"/>
    <w:qFormat/>
    <w:uiPriority w:val="0"/>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8">
    <w:name w:val="heading 8"/>
    <w:basedOn w:val="1"/>
    <w:next w:val="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9">
    <w:name w:val="heading 9"/>
    <w:basedOn w:val="1"/>
    <w:next w:val="1"/>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Cs w:val="20"/>
    </w:rPr>
  </w:style>
  <w:style w:type="character" w:default="1" w:styleId="17">
    <w:name w:val="Default Paragraph Font"/>
    <w:semiHidden/>
    <w:qFormat/>
    <w:uiPriority w:val="0"/>
  </w:style>
  <w:style w:type="table" w:default="1" w:styleId="15">
    <w:name w:val="Normal Table"/>
    <w:semiHidden/>
    <w:uiPriority w:val="0"/>
    <w:tblPr>
      <w:tblCellMar>
        <w:top w:w="0" w:type="dxa"/>
        <w:left w:w="108" w:type="dxa"/>
        <w:bottom w:w="0" w:type="dxa"/>
        <w:right w:w="108" w:type="dxa"/>
      </w:tblCellMar>
    </w:tblPr>
  </w:style>
  <w:style w:type="paragraph" w:styleId="10">
    <w:name w:val="Document Map"/>
    <w:basedOn w:val="1"/>
    <w:semiHidden/>
    <w:qFormat/>
    <w:uiPriority w:val="0"/>
    <w:pPr>
      <w:shd w:val="clear" w:color="auto" w:fill="000080"/>
    </w:pPr>
  </w:style>
  <w:style w:type="paragraph" w:styleId="11">
    <w:name w:val="Date"/>
    <w:basedOn w:val="1"/>
    <w:next w:val="1"/>
    <w:qFormat/>
    <w:uiPriority w:val="0"/>
    <w:pPr>
      <w:ind w:left="100" w:leftChars="2500"/>
    </w:pPr>
    <w:rPr>
      <w:rFonts w:ascii="黑体" w:hAnsi="宋体" w:eastAsia="黑体"/>
      <w:sz w:val="24"/>
    </w:rPr>
  </w:style>
  <w:style w:type="paragraph" w:styleId="12">
    <w:name w:val="Balloon Text"/>
    <w:basedOn w:val="1"/>
    <w:link w:val="25"/>
    <w:qFormat/>
    <w:uiPriority w:val="0"/>
    <w:rPr>
      <w:sz w:val="18"/>
      <w:szCs w:val="18"/>
    </w:rPr>
  </w:style>
  <w:style w:type="paragraph" w:styleId="13">
    <w:name w:val="footer"/>
    <w:basedOn w:val="1"/>
    <w:link w:val="26"/>
    <w:qFormat/>
    <w:uiPriority w:val="99"/>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table" w:styleId="16">
    <w:name w:val="Table Grid"/>
    <w:basedOn w:val="15"/>
    <w:uiPriority w:val="99"/>
    <w:rPr>
      <w:rFonts w:ascii="TimesNewRomanPSMT" w:hAnsi="TimesNewRomanPSMT" w:cs="TimesNewRomanPSM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样式1"/>
    <w:basedOn w:val="2"/>
    <w:qFormat/>
    <w:uiPriority w:val="0"/>
    <w:pPr>
      <w:spacing w:before="240" w:after="0" w:line="360" w:lineRule="auto"/>
      <w:ind w:firstLine="482"/>
    </w:pPr>
    <w:rPr>
      <w:rFonts w:ascii="宋体" w:hAnsi="Times New Roman" w:eastAsia="宋体"/>
      <w:b w:val="0"/>
      <w:bCs w:val="0"/>
      <w:sz w:val="24"/>
      <w:szCs w:val="20"/>
    </w:rPr>
  </w:style>
  <w:style w:type="paragraph" w:customStyle="1" w:styleId="20">
    <w:name w:val="中文文本"/>
    <w:basedOn w:val="1"/>
    <w:uiPriority w:val="0"/>
    <w:pPr>
      <w:autoSpaceDE w:val="0"/>
      <w:autoSpaceDN w:val="0"/>
      <w:adjustRightInd w:val="0"/>
      <w:spacing w:before="120" w:after="120"/>
      <w:textAlignment w:val="baseline"/>
    </w:pPr>
    <w:rPr>
      <w:kern w:val="0"/>
      <w:sz w:val="24"/>
      <w:szCs w:val="21"/>
    </w:rPr>
  </w:style>
  <w:style w:type="paragraph" w:customStyle="1" w:styleId="21">
    <w:name w:val="Char"/>
    <w:basedOn w:val="1"/>
    <w:uiPriority w:val="0"/>
    <w:pPr>
      <w:widowControl/>
      <w:spacing w:after="160" w:line="240" w:lineRule="exact"/>
      <w:jc w:val="left"/>
    </w:pPr>
    <w:rPr>
      <w:rFonts w:ascii="Verdana" w:hAnsi="Verdana"/>
      <w:kern w:val="0"/>
      <w:sz w:val="20"/>
      <w:szCs w:val="20"/>
      <w:lang w:eastAsia="en-US"/>
    </w:rPr>
  </w:style>
  <w:style w:type="paragraph" w:customStyle="1" w:styleId="22">
    <w:name w:val="Plain Text"/>
    <w:basedOn w:val="1"/>
    <w:uiPriority w:val="0"/>
    <w:pPr>
      <w:autoSpaceDE w:val="0"/>
      <w:autoSpaceDN w:val="0"/>
      <w:adjustRightInd w:val="0"/>
      <w:textAlignment w:val="baseline"/>
    </w:pPr>
    <w:rPr>
      <w:rFonts w:ascii="宋体"/>
      <w:szCs w:val="20"/>
    </w:rPr>
  </w:style>
  <w:style w:type="paragraph" w:customStyle="1" w:styleId="23">
    <w:name w:val="表格文字"/>
    <w:basedOn w:val="1"/>
    <w:uiPriority w:val="0"/>
    <w:pPr>
      <w:snapToGrid w:val="0"/>
      <w:jc w:val="center"/>
    </w:pPr>
    <w:rPr>
      <w:rFonts w:ascii="宋体" w:hAnsi="Arial"/>
      <w:szCs w:val="20"/>
    </w:rPr>
  </w:style>
  <w:style w:type="paragraph" w:customStyle="1" w:styleId="24">
    <w:name w:val="表格 五号"/>
    <w:basedOn w:val="1"/>
    <w:uiPriority w:val="0"/>
    <w:pPr>
      <w:adjustRightInd w:val="0"/>
      <w:snapToGrid w:val="0"/>
      <w:spacing w:line="320" w:lineRule="exact"/>
      <w:jc w:val="center"/>
    </w:pPr>
    <w:rPr>
      <w:color w:val="000000"/>
      <w:szCs w:val="20"/>
    </w:rPr>
  </w:style>
  <w:style w:type="character" w:customStyle="1" w:styleId="25">
    <w:name w:val="批注框文本 Char"/>
    <w:link w:val="12"/>
    <w:uiPriority w:val="0"/>
    <w:rPr>
      <w:kern w:val="2"/>
      <w:sz w:val="18"/>
      <w:szCs w:val="18"/>
    </w:rPr>
  </w:style>
  <w:style w:type="character" w:customStyle="1" w:styleId="26">
    <w:name w:val="页脚 Char"/>
    <w:link w:val="13"/>
    <w:uiPriority w:val="99"/>
    <w:rPr>
      <w:kern w:val="2"/>
      <w:sz w:val="18"/>
      <w:szCs w:val="18"/>
    </w:rPr>
  </w:style>
  <w:style w:type="character" w:customStyle="1" w:styleId="27">
    <w:name w:val="标题 2 Char"/>
    <w:link w:val="2"/>
    <w:uiPriority w:val="0"/>
    <w:rPr>
      <w:rFonts w:ascii="Arial" w:hAnsi="Arial" w:eastAsia="黑体"/>
      <w:b/>
      <w:bCs/>
      <w:kern w:val="2"/>
      <w:sz w:val="32"/>
      <w:szCs w:val="32"/>
    </w:rPr>
  </w:style>
  <w:style w:type="character" w:customStyle="1" w:styleId="28">
    <w:name w:val="标题 3 Char"/>
    <w:link w:val="3"/>
    <w:uiPriority w:val="0"/>
    <w:rPr>
      <w:b/>
      <w:bCs/>
      <w:kern w:val="2"/>
      <w:sz w:val="32"/>
      <w:szCs w:val="32"/>
    </w:rPr>
  </w:style>
  <w:style w:type="paragraph" w:customStyle="1" w:styleId="29">
    <w:name w:val="正文格式"/>
    <w:basedOn w:val="1"/>
    <w:link w:val="30"/>
    <w:qFormat/>
    <w:uiPriority w:val="99"/>
    <w:pPr>
      <w:adjustRightInd w:val="0"/>
      <w:snapToGrid w:val="0"/>
      <w:spacing w:before="50" w:line="360" w:lineRule="auto"/>
      <w:ind w:firstLine="200" w:firstLineChars="200"/>
    </w:pPr>
    <w:rPr>
      <w:sz w:val="24"/>
    </w:rPr>
  </w:style>
  <w:style w:type="character" w:customStyle="1" w:styleId="30">
    <w:name w:val="正文格式 Char Char"/>
    <w:link w:val="29"/>
    <w:locked/>
    <w:uiPriority w:val="99"/>
    <w:rPr>
      <w:kern w:val="2"/>
      <w:sz w:val="24"/>
      <w:szCs w:val="24"/>
    </w:rPr>
  </w:style>
  <w:style w:type="paragraph" w:customStyle="1" w:styleId="3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华泰联合证券</Company>
  <Pages>6</Pages>
  <Words>2959</Words>
  <Characters>3306</Characters>
  <Lines>25</Lines>
  <Paragraphs>7</Paragraphs>
  <TotalTime>0</TotalTime>
  <ScaleCrop>false</ScaleCrop>
  <LinksUpToDate>false</LinksUpToDate>
  <CharactersWithSpaces>3501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2021-10-27T01:53:00Z</dcterms:created>
  <dc:creator>联合证券</dc:creator>
  <cp:lastModifiedBy>WSY</cp:lastModifiedBy>
  <cp:lastPrinted>2020-10-10T15:15:00Z</cp:lastPrinted>
  <dcterms:modified xsi:type="dcterms:W3CDTF">2024-10-30T11:02:35Z</dcterms:modified>
  <dc:title>IPO上市保荐书</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39F49B00FE7244B7ADEAC410E6205FBC_13</vt:lpwstr>
  </property>
</Properties>
</file>