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BF7E" w14:textId="77777777" w:rsidR="00854EBD" w:rsidRPr="000F5224" w:rsidRDefault="0077463E">
      <w:pPr>
        <w:wordWrap w:val="0"/>
        <w:spacing w:line="440" w:lineRule="exact"/>
        <w:jc w:val="center"/>
        <w:rPr>
          <w:rFonts w:ascii="Times New Roman" w:eastAsia="黑体" w:hAnsi="Times New Roman"/>
          <w:kern w:val="0"/>
          <w:sz w:val="36"/>
          <w:szCs w:val="36"/>
        </w:rPr>
      </w:pPr>
      <w:r w:rsidRPr="000F5224">
        <w:rPr>
          <w:rFonts w:ascii="黑体" w:eastAsia="黑体" w:hAnsi="黑体"/>
          <w:bCs/>
          <w:kern w:val="0"/>
          <w:szCs w:val="21"/>
        </w:rPr>
        <w:t xml:space="preserve">证券代码：002042 </w:t>
      </w:r>
      <w:r w:rsidRPr="000F5224"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 w:rsidRPr="000F5224">
        <w:rPr>
          <w:rFonts w:ascii="黑体" w:eastAsia="黑体" w:hAnsi="黑体"/>
          <w:bCs/>
          <w:kern w:val="0"/>
          <w:szCs w:val="21"/>
        </w:rPr>
        <w:t xml:space="preserve">       证券简称：华孚时尚   </w:t>
      </w:r>
      <w:r w:rsidRPr="000F5224"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 w:rsidRPr="000F5224">
        <w:rPr>
          <w:rFonts w:ascii="黑体" w:eastAsia="黑体" w:hAnsi="黑体"/>
          <w:bCs/>
          <w:kern w:val="0"/>
          <w:szCs w:val="21"/>
        </w:rPr>
        <w:t xml:space="preserve">   公告编号：</w:t>
      </w:r>
      <w:r w:rsidRPr="000F5224">
        <w:rPr>
          <w:rFonts w:ascii="黑体" w:eastAsia="黑体" w:hAnsi="黑体" w:hint="eastAsia"/>
          <w:bCs/>
          <w:kern w:val="0"/>
          <w:szCs w:val="21"/>
        </w:rPr>
        <w:t>2024-43</w:t>
      </w:r>
    </w:p>
    <w:p w14:paraId="0075C6A3" w14:textId="77777777" w:rsidR="00854EBD" w:rsidRPr="000F5224" w:rsidRDefault="0077463E">
      <w:pPr>
        <w:autoSpaceDE w:val="0"/>
        <w:autoSpaceDN w:val="0"/>
        <w:adjustRightInd w:val="0"/>
        <w:spacing w:beforeLines="100" w:before="312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0F5224"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14:paraId="7A26628D" w14:textId="77777777" w:rsidR="00854EBD" w:rsidRPr="000F5224" w:rsidRDefault="0077463E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0F5224">
        <w:rPr>
          <w:rFonts w:ascii="Times New Roman" w:hAnsi="Times New Roman" w:hint="eastAsia"/>
          <w:b/>
          <w:kern w:val="0"/>
          <w:sz w:val="36"/>
          <w:szCs w:val="36"/>
        </w:rPr>
        <w:t>关于设备采购暨</w:t>
      </w:r>
      <w:r w:rsidRPr="000F5224">
        <w:rPr>
          <w:rFonts w:ascii="Times New Roman" w:hAnsi="Times New Roman"/>
          <w:b/>
          <w:kern w:val="0"/>
          <w:sz w:val="36"/>
          <w:szCs w:val="36"/>
        </w:rPr>
        <w:t>投资新疆智能</w:t>
      </w:r>
      <w:proofErr w:type="gramStart"/>
      <w:r w:rsidRPr="000F5224">
        <w:rPr>
          <w:rFonts w:ascii="Times New Roman" w:hAnsi="Times New Roman"/>
          <w:b/>
          <w:kern w:val="0"/>
          <w:sz w:val="36"/>
          <w:szCs w:val="36"/>
        </w:rPr>
        <w:t>算力集群</w:t>
      </w:r>
      <w:proofErr w:type="gramEnd"/>
      <w:r w:rsidRPr="000F5224">
        <w:rPr>
          <w:rFonts w:ascii="Times New Roman" w:hAnsi="Times New Roman"/>
          <w:b/>
          <w:kern w:val="0"/>
          <w:sz w:val="36"/>
          <w:szCs w:val="36"/>
        </w:rPr>
        <w:t>项目</w:t>
      </w:r>
      <w:r w:rsidRPr="000F5224">
        <w:rPr>
          <w:rFonts w:ascii="Times New Roman" w:hAnsi="Times New Roman" w:hint="eastAsia"/>
          <w:b/>
          <w:kern w:val="0"/>
          <w:sz w:val="36"/>
          <w:szCs w:val="36"/>
        </w:rPr>
        <w:t>的进展公告</w:t>
      </w:r>
    </w:p>
    <w:p w14:paraId="78449255" w14:textId="77777777" w:rsidR="00854EBD" w:rsidRPr="000F5224" w:rsidRDefault="0077463E">
      <w:pPr>
        <w:wordWrap w:val="0"/>
        <w:autoSpaceDE w:val="0"/>
        <w:autoSpaceDN w:val="0"/>
        <w:adjustRightInd w:val="0"/>
        <w:spacing w:afterLines="50" w:after="156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0F5224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Pr="000F5224">
        <w:rPr>
          <w:rFonts w:ascii="Times New Roman" w:eastAsia="楷体_GB2312" w:hAnsi="Times New Roman" w:hint="eastAsia"/>
          <w:kern w:val="0"/>
          <w:sz w:val="24"/>
          <w:szCs w:val="24"/>
        </w:rPr>
        <w:t>董事会</w:t>
      </w:r>
      <w:r w:rsidRPr="000F5224">
        <w:rPr>
          <w:rFonts w:ascii="Times New Roman" w:eastAsia="楷体_GB2312" w:hAnsi="Times New Roman"/>
          <w:kern w:val="0"/>
          <w:sz w:val="24"/>
          <w:szCs w:val="24"/>
        </w:rPr>
        <w:t>全体成员保证信息披露的内容真实、准确、完整，没有虚假记载、误导性陈述或重大遗漏。</w:t>
      </w:r>
    </w:p>
    <w:p w14:paraId="17B8C4A1" w14:textId="77777777" w:rsidR="00854EBD" w:rsidRPr="000F5224" w:rsidRDefault="0077463E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重要提示</w:t>
      </w:r>
    </w:p>
    <w:p w14:paraId="575F7307" w14:textId="2632FEDE" w:rsidR="00854EBD" w:rsidRPr="000F5224" w:rsidRDefault="0077463E" w:rsidP="0077463E">
      <w:pPr>
        <w:numPr>
          <w:ilvl w:val="0"/>
          <w:numId w:val="1"/>
        </w:numPr>
        <w:spacing w:line="360" w:lineRule="auto"/>
        <w:ind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华孚时尚股份有限公司（以下简称“公司”）于2024年4月25日召开第八届董事会第七次会议审议通过《关于投资新疆智能算力集群项目的议案》，公司通过下属子公司投资新疆阿克苏城市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公共算力平台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项目</w:t>
      </w:r>
      <w:r w:rsidR="00EF05CE">
        <w:rPr>
          <w:rFonts w:asciiTheme="minorEastAsia" w:eastAsiaTheme="minorEastAsia" w:hAnsiTheme="minorEastAsia" w:hint="eastAsia"/>
          <w:kern w:val="0"/>
          <w:sz w:val="24"/>
          <w:szCs w:val="24"/>
        </w:rPr>
        <w:t>，其中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一期投资27.2亿</w:t>
      </w:r>
      <w:r w:rsidR="00EF05CE">
        <w:rPr>
          <w:rFonts w:asciiTheme="minorEastAsia" w:eastAsiaTheme="minorEastAsia" w:hAnsiTheme="minorEastAsia" w:hint="eastAsia"/>
          <w:kern w:val="0"/>
          <w:sz w:val="24"/>
          <w:szCs w:val="24"/>
        </w:rPr>
        <w:t>元人民币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。详见公司于2024年4月27日披露在《证券时报》、《中国证券报》及巨潮资讯网(http://www.cninfo.com.cn)上的《关于投资新疆智能算力集群项目的公告》（2024-32）。</w:t>
      </w:r>
    </w:p>
    <w:p w14:paraId="22DD3F99" w14:textId="3DD6787D" w:rsidR="00854EBD" w:rsidRPr="000F5224" w:rsidRDefault="0077463E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公司子公司阿克苏华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孚科技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有限公司（以下简称“阿克苏华孚”）于2024年7月12日与河南昆仑技术有限公司（以下简称“昆仑技术”）签署了《设备与服务框架销售合同》，双方同意阿克苏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华孚向昆仑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技术采购阿克苏城市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公共算力平台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项目所需设备及服务，合同总金额不低于107,000万元。</w:t>
      </w:r>
    </w:p>
    <w:p w14:paraId="308155C9" w14:textId="67D93112" w:rsidR="00854EBD" w:rsidRPr="000F5224" w:rsidRDefault="0077463E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阿克苏华孚于2024年7月12日与四川华鲲振宇智能科技有限责任公司（以下简称“华鲲振宇”）签署了《设备与服务合作框架协议》，双方同意阿克苏华孚向华鲲振宇采购阿克苏城市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公共算力平台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项目所需设备及服务，合同总金额不低于106,000万元。</w:t>
      </w:r>
    </w:p>
    <w:p w14:paraId="1B0A14E4" w14:textId="29D46DCB" w:rsidR="00854EBD" w:rsidRPr="000F5224" w:rsidRDefault="0077463E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本次设备采购为投资新疆阿克苏城市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公共算力平台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项目的实际进展事项，不构成关联交易，也不构成《上市公司重大资产重组管理办法》规定的重大资产重组。本次设备与服务采购事项无需提交</w:t>
      </w:r>
      <w:r w:rsidR="00EF05CE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董事会及股东大会审议。</w:t>
      </w:r>
    </w:p>
    <w:p w14:paraId="12F4D665" w14:textId="77777777" w:rsidR="00854EBD" w:rsidRPr="000F5224" w:rsidRDefault="0077463E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本次《设备与服务框架销售合同》、《设备与服务合作框架协议》为框架性协议，可能面临宏观环境变化、市场竞争加剧、设备更新较快、资金筹措不足、自然灾害等突发事件以及其他不可抗力因素所带来的风险。公司将持续关注合同履行情况，并按照要求及时履行信息披露义务，敬请广大投资者注意投资风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险。</w:t>
      </w:r>
    </w:p>
    <w:p w14:paraId="0A525005" w14:textId="77777777" w:rsidR="00854EBD" w:rsidRPr="000F5224" w:rsidRDefault="0077463E">
      <w:pPr>
        <w:numPr>
          <w:ilvl w:val="0"/>
          <w:numId w:val="2"/>
        </w:num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交易概述</w:t>
      </w:r>
    </w:p>
    <w:p w14:paraId="684FF19C" w14:textId="0E637481" w:rsidR="00854EBD" w:rsidRPr="000F5224" w:rsidRDefault="0077463E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阿克苏华孚于2024年7月12</w:t>
      </w:r>
      <w:r w:rsidR="00EF05CE">
        <w:rPr>
          <w:rFonts w:asciiTheme="minorEastAsia" w:eastAsiaTheme="minorEastAsia" w:hAnsiTheme="minorEastAsia" w:hint="eastAsia"/>
          <w:kern w:val="0"/>
          <w:sz w:val="24"/>
          <w:szCs w:val="24"/>
        </w:rPr>
        <w:t>日与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昆仑技术签署</w:t>
      </w:r>
      <w:r w:rsidR="00EF05CE">
        <w:rPr>
          <w:rFonts w:asciiTheme="minorEastAsia" w:eastAsiaTheme="minorEastAsia" w:hAnsiTheme="minorEastAsia" w:hint="eastAsia"/>
          <w:kern w:val="0"/>
          <w:sz w:val="24"/>
          <w:szCs w:val="24"/>
        </w:rPr>
        <w:t>了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《设备与服务框架销售合同》，双方同意阿克苏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华孚向昆仑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技术采购阿克苏城市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公共算力平台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项目所需设备及服务，合同总金额不低于107,000万元。</w:t>
      </w:r>
    </w:p>
    <w:p w14:paraId="60E2D375" w14:textId="296EA75A" w:rsidR="00854EBD" w:rsidRPr="000F5224" w:rsidRDefault="0077463E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阿克苏华孚于2024年7月12日与华鲲振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宇签署</w:t>
      </w:r>
      <w:proofErr w:type="gramEnd"/>
      <w:r w:rsidR="00EF05CE">
        <w:rPr>
          <w:rFonts w:asciiTheme="minorEastAsia" w:eastAsiaTheme="minorEastAsia" w:hAnsiTheme="minorEastAsia" w:hint="eastAsia"/>
          <w:kern w:val="0"/>
          <w:sz w:val="24"/>
          <w:szCs w:val="24"/>
        </w:rPr>
        <w:t>了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《设备与服务合作框架协议》，双方同意阿克苏华孚向华鲲振宇采购阿克苏城市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公共算力平台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项目所需设备及服务，合同总金额不低于106,000万元。</w:t>
      </w:r>
    </w:p>
    <w:p w14:paraId="3A7CFD17" w14:textId="1516E178" w:rsidR="00854EBD" w:rsidRPr="000F5224" w:rsidRDefault="0077463E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本次设备与服务采购不构成关联交易，也不构成《上市公司重大资产重组管理办法》规定的重大资产重组。本次设备采购与服务采购事项无需提交</w:t>
      </w:r>
      <w:r w:rsidR="00EF05CE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董事会及股东大会审议。</w:t>
      </w:r>
    </w:p>
    <w:p w14:paraId="6D312040" w14:textId="77777777" w:rsidR="00854EBD" w:rsidRPr="000F5224" w:rsidRDefault="0077463E">
      <w:pPr>
        <w:numPr>
          <w:ilvl w:val="0"/>
          <w:numId w:val="2"/>
        </w:num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交易对方的基本情况</w:t>
      </w:r>
    </w:p>
    <w:p w14:paraId="270728F5" w14:textId="77777777" w:rsidR="00854EBD" w:rsidRPr="000F5224" w:rsidRDefault="0077463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1、河南昆仑技术有限公司工商信息</w:t>
      </w:r>
    </w:p>
    <w:p w14:paraId="7174EDC6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企业名称：河南昆仑技术有限公司</w:t>
      </w:r>
    </w:p>
    <w:p w14:paraId="34B38164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企业性质：国有企业</w:t>
      </w:r>
    </w:p>
    <w:p w14:paraId="3D8A86E2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注册地址：河南省郑州市郑东新区龙子湖智慧岛中道东路东时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埂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街北创智天地大厦10层</w:t>
      </w:r>
    </w:p>
    <w:p w14:paraId="1BCF99E6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主要办公地点：河南省郑州市郑东新区龙子湖智慧岛中道东路东时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埂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街北创智天地大厦10层</w:t>
      </w:r>
    </w:p>
    <w:p w14:paraId="69678AEB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法定代表人：郑殿海</w:t>
      </w:r>
    </w:p>
    <w:p w14:paraId="30AD8A39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注册资本：65,000万人民币</w:t>
      </w:r>
    </w:p>
    <w:p w14:paraId="68618FA2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统一社会信用代码：91410100MA9MNP3J10</w:t>
      </w:r>
    </w:p>
    <w:p w14:paraId="39354E97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经营范围：一般项目:技术服务、技术开发、技术咨询、技术交流、技术转让、技术推广;计算机软硬件及外围设备制造;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云计算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设备制造;工业控制计算机及系统制造;信息安全设备制造;通信设备制造;互联网设备制造;货物进出口;技术进出口;信息系统集成服务;计算机软硬件及辅助设备批发;通讯设备销售;人工智能硬件销售;工业自动控制系统装置销售;工业控制计算机及系统销售;计算器设备销售;软件销售;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云计算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设备销售;信息安全设备销售;物联网设备销售;网络设备销售;人工智能双创服务平台;网络技术服务;人工智能公共服务平台技术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咨询服务;人工智能公共数据平台;人工智能基础资源与技术平台;大数据服务;软件开发;集成电路设计;智能控制系统集成;人工智能通用应用系统;人工智能行业应用系统集成服务;计算机系统服务;信息系统运行维护服务;数据处理和存储支持服务;信息技术咨询服务;物联网设备制造;数字视频监控系统制造;集成电路芯片及产品制造;计算机软硬件及辅助设备零售;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云计算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装备技术服务;人工智能应用软件开发;计算机及通讯设备租赁(除依法须经批准的项目外,凭营业执照依法自主开展经营活动)许可项目:计算机信息系统安全专用产品销售(依法须经批准的项目,经相关部门批准后方可开展经营活动,具体经营项目以相关部门批准文件或许可证件为准)</w:t>
      </w:r>
    </w:p>
    <w:p w14:paraId="10C4464E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股权结构：超聚变数字技术有限公司持有其100%股份</w:t>
      </w:r>
    </w:p>
    <w:p w14:paraId="431D559B" w14:textId="77777777" w:rsidR="00854EBD" w:rsidRPr="000F5224" w:rsidRDefault="0077463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2、四川华鲲振宇智能科技有限责任公司工商信息</w:t>
      </w:r>
    </w:p>
    <w:p w14:paraId="3A2E0F61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企业名称：四川华鲲振宇智能科技有限责任公司</w:t>
      </w:r>
    </w:p>
    <w:p w14:paraId="4D7A45D4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企业性质：国有企业</w:t>
      </w:r>
    </w:p>
    <w:p w14:paraId="2E6F1A1A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注册地址：中国（四川）自由贸易试验区成都高新区天府大道北段28号1栋2单元24层1、2、3、4、5、6、7、8、9号</w:t>
      </w:r>
    </w:p>
    <w:p w14:paraId="75E0FDDD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 w:cs="微软雅黑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主要办公地点：四川省成都市高新区天府大道北段28号茂业中心C座24</w:t>
      </w:r>
    </w:p>
    <w:p w14:paraId="47793943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法定代表人：潘晓勇</w:t>
      </w:r>
    </w:p>
    <w:p w14:paraId="7FE032EF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注册资本：10,000万人民币</w:t>
      </w:r>
    </w:p>
    <w:p w14:paraId="68844203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统一社会信用代码：91510100MA67G71FX6</w:t>
      </w:r>
    </w:p>
    <w:p w14:paraId="467855B1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经营范围：一般项目：技术服务、技术开发、技术咨询、技术交流、技术转让、技术推广；计算机软硬件及外围设备制造；计算机软硬件及辅助设备批发；计算机软硬件及辅助设备零售；数字视频监控系统制造；数字视频监控系统销售；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云计算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设备制造；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云计算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设备销售；集成电路芯片及产品制造；集成电路芯片及产品销售；集成电路制造；集成电路销售；人工智能行业应用系统集成服务；智能控制系统集成；集成电路芯片设计及服务；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云计算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装备技术服务；信息系统集成服务；计算机系统服务；信息系统运行维护服务；数据处理和存储支持服务；人工智能应用软件开发；软件开发；软件销售；货物进出口；技术进出口；集成电路设计；物业管理；机械设备销售；建筑工程机械与设备租赁；计算机及通讯设备租赁；电子元器件批发；电子元器件零售；电子产品销售；家用电器销售；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家用电器研发；家用电器制造；通讯设备销售；半导体照明器件销售；电子专用材料研发；供应链管理服务；企业管理；非居住房地产租赁。（除依法须经批准的项目外，凭营业执照依法自主开展经营活动）许可项目：建筑智能化系统设计。（依法须经批准的项目，经相关部门批准后方可开展经营活动，具体经营项目以相关部门批准文件或许可证件为准）</w:t>
      </w:r>
    </w:p>
    <w:p w14:paraId="7D243AFB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股权结构：成都高投电子信息产业集团有限公司持有55%股份，共青城华鲲振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宇投资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合伙企业（有限合伙）持有25%股份，海南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云辰合业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科技合伙企业（有限合伙）持有15%股份，四川长虹电子控股集团有限公司持有3%股份，四川申万宏源长虹股权投资基金合伙企业（有限合伙）持有2%股份。</w:t>
      </w:r>
    </w:p>
    <w:p w14:paraId="2D50D249" w14:textId="77777777" w:rsidR="00854EBD" w:rsidRPr="000F5224" w:rsidRDefault="0077463E" w:rsidP="00967F1E">
      <w:pPr>
        <w:spacing w:line="360" w:lineRule="auto"/>
        <w:ind w:firstLineChars="200" w:firstLine="482"/>
        <w:rPr>
          <w:rFonts w:asciiTheme="minorEastAsia" w:eastAsiaTheme="minorEastAsia" w:hAnsiTheme="minorEastAsia"/>
          <w:kern w:val="0"/>
          <w:sz w:val="24"/>
          <w:szCs w:val="24"/>
        </w:rPr>
      </w:pPr>
      <w:r w:rsidRPr="00967F1E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3、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公司及公司子公司与昆仑技术、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华鲲振宇不存在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关联关系，本次交易不属于关联交易，昆仑技术、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华鲲振宇不属于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失信被执行人。</w:t>
      </w:r>
    </w:p>
    <w:p w14:paraId="7B25967A" w14:textId="77777777" w:rsidR="00854EBD" w:rsidRPr="000F5224" w:rsidRDefault="0077463E">
      <w:pPr>
        <w:numPr>
          <w:ilvl w:val="0"/>
          <w:numId w:val="2"/>
        </w:num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与昆仑技术《设备与服务框架销售合同》主要内容</w:t>
      </w:r>
    </w:p>
    <w:p w14:paraId="4A8B3BBC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买方：阿克苏华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孚科技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有限公司</w:t>
      </w:r>
    </w:p>
    <w:p w14:paraId="03EE29E9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卖方：河南昆仑技术有限公司</w:t>
      </w:r>
    </w:p>
    <w:p w14:paraId="3564F279" w14:textId="77777777" w:rsidR="00854EBD" w:rsidRPr="000F5224" w:rsidRDefault="0077463E">
      <w:pPr>
        <w:numPr>
          <w:ilvl w:val="0"/>
          <w:numId w:val="4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交易标的</w:t>
      </w:r>
    </w:p>
    <w:p w14:paraId="3435CFAE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买方向卖方购买国产化GPU服务器等设备（包括但不限于硬件、软件、安装材料、备件）和服务。具体购买事项以双方签署的订单为准，分批执行，单个订单金额根据买方实际需求确定。</w:t>
      </w:r>
    </w:p>
    <w:p w14:paraId="2549919F" w14:textId="77777777" w:rsidR="00854EBD" w:rsidRPr="000F5224" w:rsidRDefault="0077463E">
      <w:pPr>
        <w:numPr>
          <w:ilvl w:val="0"/>
          <w:numId w:val="4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价格和付款</w:t>
      </w:r>
    </w:p>
    <w:p w14:paraId="6FC0D5D0" w14:textId="77777777" w:rsidR="00854EBD" w:rsidRPr="000F5224" w:rsidRDefault="0077463E">
      <w:pPr>
        <w:pStyle w:val="a4"/>
        <w:widowControl/>
        <w:autoSpaceDE w:val="0"/>
        <w:autoSpaceDN w:val="0"/>
        <w:adjustRightIn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2.1 买方承诺在本合同有效期内按照以下条件向卖方订购产品：</w:t>
      </w:r>
    </w:p>
    <w:p w14:paraId="6B5CFB3A" w14:textId="77777777" w:rsidR="00854EBD" w:rsidRPr="000F5224" w:rsidRDefault="0077463E">
      <w:pPr>
        <w:pStyle w:val="a4"/>
        <w:autoSpaceDE w:val="0"/>
        <w:autoSpaceDN w:val="0"/>
        <w:adjustRightIn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（1）本合同总金额</w:t>
      </w:r>
      <w:r w:rsidRPr="000F5224">
        <w:rPr>
          <w:rFonts w:asciiTheme="minorEastAsia" w:eastAsiaTheme="minorEastAsia" w:hAnsiTheme="minorEastAsia"/>
          <w:kern w:val="0"/>
          <w:sz w:val="24"/>
          <w:szCs w:val="24"/>
        </w:rPr>
        <w:t>不低于</w:t>
      </w:r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107,000</w:t>
      </w: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万元人民币；</w:t>
      </w:r>
    </w:p>
    <w:p w14:paraId="14250FE7" w14:textId="77777777" w:rsidR="00854EBD" w:rsidRPr="000F5224" w:rsidRDefault="0077463E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（2）在合同完成履约前，若卖方推出了更高性能国产AI</w:t>
      </w:r>
      <w:proofErr w:type="gramStart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算力服务器</w:t>
      </w:r>
      <w:proofErr w:type="gramEnd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，</w:t>
      </w:r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则合同剩余未履行部分等额转换成该型号AI</w:t>
      </w:r>
      <w:proofErr w:type="gramStart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算力服务器</w:t>
      </w:r>
      <w:proofErr w:type="gramEnd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，具体价格双方友好协商共同确定。</w:t>
      </w:r>
    </w:p>
    <w:p w14:paraId="4ABA47C1" w14:textId="503C9CA4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2.2 买方须采用电汇结算方式按如下进度向卖方支付</w:t>
      </w:r>
      <w:r w:rsidR="00CA713F" w:rsidRPr="000F5224">
        <w:rPr>
          <w:rFonts w:asciiTheme="minorEastAsia" w:eastAsiaTheme="minorEastAsia" w:hAnsiTheme="minorEastAsia" w:hint="eastAsia"/>
          <w:sz w:val="24"/>
          <w:szCs w:val="24"/>
        </w:rPr>
        <w:t>订单</w:t>
      </w:r>
      <w:r w:rsidRPr="000F5224">
        <w:rPr>
          <w:rFonts w:asciiTheme="minorEastAsia" w:eastAsiaTheme="minorEastAsia" w:hAnsiTheme="minorEastAsia" w:hint="eastAsia"/>
          <w:sz w:val="24"/>
          <w:szCs w:val="24"/>
        </w:rPr>
        <w:t>设备款及服务款：</w:t>
      </w:r>
    </w:p>
    <w:p w14:paraId="03E7CBC7" w14:textId="77777777" w:rsidR="00854EBD" w:rsidRPr="000F5224" w:rsidRDefault="0077463E">
      <w:pPr>
        <w:numPr>
          <w:ilvl w:val="0"/>
          <w:numId w:val="5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预付款：合同生效后5个工作日内（含设备+服务款），支付10%；</w:t>
      </w:r>
    </w:p>
    <w:p w14:paraId="6D936533" w14:textId="77777777" w:rsidR="00854EBD" w:rsidRPr="000F5224" w:rsidRDefault="0077463E">
      <w:pPr>
        <w:numPr>
          <w:ilvl w:val="0"/>
          <w:numId w:val="5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发货款：在预计完成备货日期5个工作日前（含设备+服务款），支付90%。</w:t>
      </w:r>
    </w:p>
    <w:p w14:paraId="23F4B757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2.3 订单下货物如按买方要求分批次发货，则卖方有权要求买方分批次付款。</w:t>
      </w:r>
    </w:p>
    <w:p w14:paraId="7C7631C7" w14:textId="77777777" w:rsidR="00854EBD" w:rsidRPr="000F5224" w:rsidRDefault="0077463E">
      <w:pPr>
        <w:numPr>
          <w:ilvl w:val="0"/>
          <w:numId w:val="4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lastRenderedPageBreak/>
        <w:t>合同变更</w:t>
      </w:r>
    </w:p>
    <w:p w14:paraId="691392A5" w14:textId="77777777" w:rsidR="00854EBD" w:rsidRPr="000F5224" w:rsidRDefault="0077463E">
      <w:pPr>
        <w:pStyle w:val="a5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0F5224">
        <w:rPr>
          <w:rFonts w:asciiTheme="minorEastAsia" w:eastAsiaTheme="minorEastAsia" w:hAnsiTheme="minorEastAsia" w:hint="eastAsia"/>
          <w:szCs w:val="24"/>
        </w:rPr>
        <w:t>本合同并非总价封顶或单价限定合同，在本合同生效及交付履约过程中，买卖双方根据项目履约情况（例如项目交付关键里程碑、项目履约周期）以及外部市场变化（例如材料、设备、人力的市场价格波动；国家税务等行政监管政策调整；行业技术规范或指标更新）等，经友好协商一致，均有权针对合同总价、条目单价、交付范围等合同要素提请变更；但未经买卖双方协商一致，任意一方不得随意、擅自进行合同重大变更，造成项目受损或者本合同</w:t>
      </w:r>
      <w:proofErr w:type="gramStart"/>
      <w:r w:rsidRPr="000F5224">
        <w:rPr>
          <w:rFonts w:asciiTheme="minorEastAsia" w:eastAsiaTheme="minorEastAsia" w:hAnsiTheme="minorEastAsia" w:hint="eastAsia"/>
          <w:szCs w:val="24"/>
        </w:rPr>
        <w:t>通相关方</w:t>
      </w:r>
      <w:proofErr w:type="gramEnd"/>
      <w:r w:rsidRPr="000F5224">
        <w:rPr>
          <w:rFonts w:asciiTheme="minorEastAsia" w:eastAsiaTheme="minorEastAsia" w:hAnsiTheme="minorEastAsia" w:hint="eastAsia"/>
          <w:szCs w:val="24"/>
        </w:rPr>
        <w:t>利益受损的，过错方应予以赔偿。</w:t>
      </w:r>
    </w:p>
    <w:p w14:paraId="7CB68C40" w14:textId="77777777" w:rsidR="00854EBD" w:rsidRPr="000F5224" w:rsidRDefault="0077463E">
      <w:pPr>
        <w:numPr>
          <w:ilvl w:val="0"/>
          <w:numId w:val="4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违约责任</w:t>
      </w:r>
    </w:p>
    <w:p w14:paraId="549DEC8B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4.1 卖方违约责任：</w:t>
      </w:r>
    </w:p>
    <w:p w14:paraId="038FD667" w14:textId="77777777" w:rsidR="00854EBD" w:rsidRPr="000F5224" w:rsidRDefault="0077463E">
      <w:pPr>
        <w:numPr>
          <w:ilvl w:val="0"/>
          <w:numId w:val="6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如因卖方责任，未按本合同规定的交货日期向买方交货时，卖方应从规定交货之日三十天后起，每逾期一天，按未交付设备金额的0.5‰计算并向买方支付违约金，此项违约金额不超过逾期交付部分设备款总值的5%。</w:t>
      </w:r>
    </w:p>
    <w:p w14:paraId="035A854A" w14:textId="77777777" w:rsidR="00854EBD" w:rsidRPr="000F5224" w:rsidRDefault="0077463E">
      <w:pPr>
        <w:numPr>
          <w:ilvl w:val="0"/>
          <w:numId w:val="6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因卖方责任不能交货，卖方应退还已收取的不能交货部分预付款。</w:t>
      </w:r>
    </w:p>
    <w:p w14:paraId="03BE1C3E" w14:textId="77777777" w:rsidR="00854EBD" w:rsidRPr="000F5224" w:rsidRDefault="0077463E">
      <w:pPr>
        <w:numPr>
          <w:ilvl w:val="0"/>
          <w:numId w:val="6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如因卖方责任不能提供本合同约定的服务，卖方应退还已收取的相应款项。</w:t>
      </w:r>
    </w:p>
    <w:p w14:paraId="768AA41D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4.2 买方违约责任：</w:t>
      </w:r>
    </w:p>
    <w:p w14:paraId="6F107DA3" w14:textId="77777777" w:rsidR="00854EBD" w:rsidRPr="000F5224" w:rsidRDefault="0077463E" w:rsidP="0077463E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如买方逾期支付订单价款的，则买方从应付款之日三十天后起，按每天逾期付款部分的</w:t>
      </w:r>
      <w:r w:rsidRPr="000F5224">
        <w:rPr>
          <w:rFonts w:asciiTheme="minorEastAsia" w:eastAsiaTheme="minorEastAsia" w:hAnsiTheme="minorEastAsia"/>
          <w:sz w:val="24"/>
          <w:szCs w:val="24"/>
        </w:rPr>
        <w:t>0.5</w:t>
      </w:r>
      <w:r w:rsidRPr="000F5224">
        <w:rPr>
          <w:rFonts w:asciiTheme="minorEastAsia" w:eastAsiaTheme="minorEastAsia" w:hAnsiTheme="minorEastAsia" w:hint="eastAsia"/>
          <w:sz w:val="24"/>
          <w:szCs w:val="24"/>
        </w:rPr>
        <w:t>‰计算并向卖方支付违约金，并且本合同中卖方对买方的各项义务日期作相应顺延。</w:t>
      </w:r>
    </w:p>
    <w:p w14:paraId="071B8A02" w14:textId="77777777" w:rsidR="00854EBD" w:rsidRPr="000F5224" w:rsidRDefault="0077463E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如由于买方原因中途退货而给卖方造成损失的，买方应予以赔偿。</w:t>
      </w:r>
    </w:p>
    <w:p w14:paraId="2B8E6917" w14:textId="77777777" w:rsidR="00854EBD" w:rsidRPr="000F5224" w:rsidRDefault="0077463E">
      <w:pPr>
        <w:numPr>
          <w:ilvl w:val="0"/>
          <w:numId w:val="4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其他</w:t>
      </w:r>
    </w:p>
    <w:p w14:paraId="043DB5FD" w14:textId="77777777" w:rsidR="00854EBD" w:rsidRPr="000F5224" w:rsidRDefault="0077463E">
      <w:pPr>
        <w:numPr>
          <w:ilvl w:val="0"/>
          <w:numId w:val="8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本合同经双方授权代表签字并加盖单位合同专用章或公章后生效，有效期至2026年12月31日终止。</w:t>
      </w:r>
    </w:p>
    <w:p w14:paraId="12EE9433" w14:textId="77777777" w:rsidR="00854EBD" w:rsidRPr="000F5224" w:rsidRDefault="0077463E">
      <w:pPr>
        <w:numPr>
          <w:ilvl w:val="0"/>
          <w:numId w:val="8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在上述有效期结束前的最后30个工作日内，双方将就今后销售事宜进行磋商。如双方就今后销售事宜达成一致，本合同可以续展，由双方另行签订续展合同。但如果在本合同有效期满后，买方继续按照本框架合同的约定采用订单的形式进行采购，如卖方也按照订单的要求继续供货和提供服务，则前述有效期满后的订单应有效，并受本合同的约束。</w:t>
      </w:r>
    </w:p>
    <w:p w14:paraId="0D5D2132" w14:textId="77777777" w:rsidR="00854EBD" w:rsidRPr="000F5224" w:rsidRDefault="0077463E">
      <w:pPr>
        <w:numPr>
          <w:ilvl w:val="0"/>
          <w:numId w:val="8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除本合同另行约定外，如双方就今后采购事宜不能达成一致，则有效期满后本合同终止。</w:t>
      </w:r>
    </w:p>
    <w:p w14:paraId="3340E710" w14:textId="77777777" w:rsidR="00854EBD" w:rsidRPr="000F5224" w:rsidRDefault="0077463E">
      <w:pPr>
        <w:numPr>
          <w:ilvl w:val="0"/>
          <w:numId w:val="2"/>
        </w:num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与华鲲振宇《设备与服务合作框架协议》主要内容</w:t>
      </w:r>
    </w:p>
    <w:p w14:paraId="3E6FAEA7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买方：阿克苏华</w:t>
      </w:r>
      <w:proofErr w:type="gramStart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孚科技</w:t>
      </w:r>
      <w:proofErr w:type="gramEnd"/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有限公司</w:t>
      </w:r>
    </w:p>
    <w:p w14:paraId="5208CE96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卖方：四川华鲲振宇智能科技有限责任公司</w:t>
      </w:r>
    </w:p>
    <w:p w14:paraId="622E08F2" w14:textId="77777777" w:rsidR="00854EBD" w:rsidRPr="000F5224" w:rsidRDefault="0077463E">
      <w:pPr>
        <w:numPr>
          <w:ilvl w:val="0"/>
          <w:numId w:val="9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交易标的</w:t>
      </w:r>
    </w:p>
    <w:p w14:paraId="71F3FCB4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买方向卖方购买国产化GPU服务器等设备（包括但不限于硬件、软件、安装材料、备件）和服务。具体购买事项以双方签署的订单为准，分批执行，单个订单金额根据买方实际需求确定。</w:t>
      </w:r>
    </w:p>
    <w:p w14:paraId="022141C1" w14:textId="77777777" w:rsidR="00854EBD" w:rsidRPr="000F5224" w:rsidRDefault="0077463E">
      <w:pPr>
        <w:numPr>
          <w:ilvl w:val="0"/>
          <w:numId w:val="9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价格和付款</w:t>
      </w:r>
    </w:p>
    <w:p w14:paraId="7AD01D13" w14:textId="77777777" w:rsidR="00854EBD" w:rsidRPr="000F5224" w:rsidRDefault="0077463E">
      <w:pPr>
        <w:pStyle w:val="a4"/>
        <w:widowControl/>
        <w:autoSpaceDE w:val="0"/>
        <w:autoSpaceDN w:val="0"/>
        <w:adjustRightIn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2.1 单个订单的配置和价格以买方实际需求由买卖双方共同协商确认。</w:t>
      </w:r>
    </w:p>
    <w:p w14:paraId="44BED067" w14:textId="77777777" w:rsidR="00854EBD" w:rsidRPr="000F5224" w:rsidRDefault="0077463E">
      <w:pPr>
        <w:pStyle w:val="a4"/>
        <w:widowControl/>
        <w:autoSpaceDE w:val="0"/>
        <w:autoSpaceDN w:val="0"/>
        <w:adjustRightIn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2.2 买方承诺在本协议有效期内按照以下条件向卖方订购产品：</w:t>
      </w:r>
    </w:p>
    <w:p w14:paraId="3B9CD953" w14:textId="686C9118" w:rsidR="00854EBD" w:rsidRPr="000F5224" w:rsidRDefault="0077463E">
      <w:pPr>
        <w:pStyle w:val="a4"/>
        <w:autoSpaceDE w:val="0"/>
        <w:autoSpaceDN w:val="0"/>
        <w:adjustRightIn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（1）本协议总金额</w:t>
      </w:r>
      <w:r w:rsidRPr="000F5224">
        <w:rPr>
          <w:rFonts w:asciiTheme="minorEastAsia" w:eastAsiaTheme="minorEastAsia" w:hAnsiTheme="minorEastAsia"/>
          <w:kern w:val="0"/>
          <w:sz w:val="24"/>
          <w:szCs w:val="24"/>
        </w:rPr>
        <w:t>不低于</w:t>
      </w:r>
      <w:r w:rsidRPr="000F5224">
        <w:rPr>
          <w:rFonts w:asciiTheme="minorEastAsia" w:eastAsiaTheme="minorEastAsia" w:hAnsiTheme="minorEastAsia" w:hint="eastAsia"/>
          <w:kern w:val="0"/>
          <w:sz w:val="24"/>
          <w:szCs w:val="24"/>
        </w:rPr>
        <w:t>106,000</w:t>
      </w: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万元人民币；</w:t>
      </w:r>
    </w:p>
    <w:p w14:paraId="173DD994" w14:textId="77777777" w:rsidR="00854EBD" w:rsidRPr="000F5224" w:rsidRDefault="0077463E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（2）在协议完成履约前，若卖方推出了下一代国产AI</w:t>
      </w:r>
      <w:proofErr w:type="gramStart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算力芯片</w:t>
      </w:r>
      <w:proofErr w:type="gramEnd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服务器，</w:t>
      </w:r>
      <w:proofErr w:type="gramStart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则协议</w:t>
      </w:r>
      <w:proofErr w:type="gramEnd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剩余未履行部分等额转换成下一代AI</w:t>
      </w:r>
      <w:proofErr w:type="gramStart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算力芯片</w:t>
      </w:r>
      <w:proofErr w:type="gramEnd"/>
      <w:r w:rsidRPr="000F522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服务器，具体价格双方友好协商共同确定。</w:t>
      </w:r>
    </w:p>
    <w:p w14:paraId="6CEA0206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2.3 买方须采用电汇结算方式按如下进度向卖方支付订单设备款：</w:t>
      </w:r>
    </w:p>
    <w:p w14:paraId="5F6C19A2" w14:textId="77777777" w:rsidR="00854EBD" w:rsidRPr="000F5224" w:rsidRDefault="0077463E">
      <w:pPr>
        <w:numPr>
          <w:ilvl w:val="0"/>
          <w:numId w:val="10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预付款：订单生效后的5个工作日内，买方向卖方支付订单金额的10%作为预付款；</w:t>
      </w:r>
    </w:p>
    <w:p w14:paraId="5C1654A3" w14:textId="77777777" w:rsidR="00854EBD" w:rsidRPr="000F5224" w:rsidRDefault="0077463E">
      <w:pPr>
        <w:numPr>
          <w:ilvl w:val="0"/>
          <w:numId w:val="10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发货款：卖方向买方发出订</w:t>
      </w:r>
      <w:bookmarkStart w:id="0" w:name="_GoBack"/>
      <w:bookmarkEnd w:id="0"/>
      <w:r w:rsidRPr="000F5224">
        <w:rPr>
          <w:rFonts w:asciiTheme="minorEastAsia" w:eastAsiaTheme="minorEastAsia" w:hAnsiTheme="minorEastAsia" w:hint="eastAsia"/>
          <w:sz w:val="24"/>
          <w:szCs w:val="24"/>
        </w:rPr>
        <w:t>单约定的设备齐</w:t>
      </w:r>
      <w:proofErr w:type="gramStart"/>
      <w:r w:rsidRPr="000F5224">
        <w:rPr>
          <w:rFonts w:asciiTheme="minorEastAsia" w:eastAsiaTheme="minorEastAsia" w:hAnsiTheme="minorEastAsia" w:hint="eastAsia"/>
          <w:sz w:val="24"/>
          <w:szCs w:val="24"/>
        </w:rPr>
        <w:t>套通知</w:t>
      </w:r>
      <w:proofErr w:type="gramEnd"/>
      <w:r w:rsidRPr="000F5224">
        <w:rPr>
          <w:rFonts w:asciiTheme="minorEastAsia" w:eastAsiaTheme="minorEastAsia" w:hAnsiTheme="minorEastAsia" w:hint="eastAsia"/>
          <w:sz w:val="24"/>
          <w:szCs w:val="24"/>
        </w:rPr>
        <w:t>邮件后5个工作日内支付对应订单金额的90%作为发货款（含设备+服务款）。</w:t>
      </w:r>
    </w:p>
    <w:p w14:paraId="291953F1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2.4 订单下货物如按买方要求分批次发货，则卖方有权要求买方分批次付款。</w:t>
      </w:r>
    </w:p>
    <w:p w14:paraId="1E61F4C1" w14:textId="77777777" w:rsidR="00854EBD" w:rsidRPr="000F5224" w:rsidRDefault="0077463E">
      <w:pPr>
        <w:numPr>
          <w:ilvl w:val="0"/>
          <w:numId w:val="9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协议变更</w:t>
      </w:r>
    </w:p>
    <w:p w14:paraId="713AB5E5" w14:textId="77777777" w:rsidR="00854EBD" w:rsidRPr="000F5224" w:rsidRDefault="0077463E">
      <w:pPr>
        <w:pStyle w:val="a5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0F5224">
        <w:rPr>
          <w:rFonts w:asciiTheme="minorEastAsia" w:eastAsiaTheme="minorEastAsia" w:hAnsiTheme="minorEastAsia" w:hint="eastAsia"/>
          <w:szCs w:val="24"/>
        </w:rPr>
        <w:t>本协议并非总价封顶或单价限定协议，在本协议生效及交付履约过程中，买卖双方根据项目履约情况（例如项目交付关键里程碑、项目履约周期）以及外部市场变化（例如材料、设备、人力的市场价格波动；国家税务等行政监管政策调整；行业技术规范或指标更新）等，经友好协商一致，均有权针对协议总价、条目单价、交付范围等协议要素提请变更；但未经买卖双方协商一致，任意一方不</w:t>
      </w:r>
      <w:r w:rsidRPr="000F5224">
        <w:rPr>
          <w:rFonts w:asciiTheme="minorEastAsia" w:eastAsiaTheme="minorEastAsia" w:hAnsiTheme="minorEastAsia" w:hint="eastAsia"/>
          <w:szCs w:val="24"/>
        </w:rPr>
        <w:lastRenderedPageBreak/>
        <w:t>得随意、擅自进行协议重大变更，造成项目受损或者本协议</w:t>
      </w:r>
      <w:proofErr w:type="gramStart"/>
      <w:r w:rsidRPr="000F5224">
        <w:rPr>
          <w:rFonts w:asciiTheme="minorEastAsia" w:eastAsiaTheme="minorEastAsia" w:hAnsiTheme="minorEastAsia" w:hint="eastAsia"/>
          <w:szCs w:val="24"/>
        </w:rPr>
        <w:t>通相关方</w:t>
      </w:r>
      <w:proofErr w:type="gramEnd"/>
      <w:r w:rsidRPr="000F5224">
        <w:rPr>
          <w:rFonts w:asciiTheme="minorEastAsia" w:eastAsiaTheme="minorEastAsia" w:hAnsiTheme="minorEastAsia" w:hint="eastAsia"/>
          <w:szCs w:val="24"/>
        </w:rPr>
        <w:t>利益受损的，过错方应予以赔偿。</w:t>
      </w:r>
    </w:p>
    <w:p w14:paraId="3D6806D1" w14:textId="77777777" w:rsidR="00854EBD" w:rsidRPr="000F5224" w:rsidRDefault="0077463E">
      <w:pPr>
        <w:numPr>
          <w:ilvl w:val="0"/>
          <w:numId w:val="9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违约责任</w:t>
      </w:r>
    </w:p>
    <w:p w14:paraId="2C9CB6D5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4.1 卖方违约责任：</w:t>
      </w:r>
    </w:p>
    <w:p w14:paraId="4537D9F4" w14:textId="77777777" w:rsidR="00854EBD" w:rsidRPr="000F5224" w:rsidRDefault="0077463E">
      <w:pPr>
        <w:numPr>
          <w:ilvl w:val="0"/>
          <w:numId w:val="11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如因卖方责任，未按本协议规定的交货日期向买方交货时，卖方应从规定交货之日三十天后起，每逾期一天，按未交付设备金额的0.5‰计算并向买方支付违约金，此项违约金额不超过逾期交付部分设备款总值的5%。</w:t>
      </w:r>
    </w:p>
    <w:p w14:paraId="7D099A36" w14:textId="77777777" w:rsidR="00854EBD" w:rsidRPr="000F5224" w:rsidRDefault="0077463E">
      <w:pPr>
        <w:numPr>
          <w:ilvl w:val="0"/>
          <w:numId w:val="11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因卖方责任不能交货，卖方应退还已收取的不能交货部分预付款。</w:t>
      </w:r>
    </w:p>
    <w:p w14:paraId="4A0A5BB5" w14:textId="77777777" w:rsidR="00854EBD" w:rsidRPr="000F5224" w:rsidRDefault="0077463E">
      <w:pPr>
        <w:numPr>
          <w:ilvl w:val="0"/>
          <w:numId w:val="11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如因卖方责任不能提供本协议约定的服务，卖方应退还已收取的相应款项。</w:t>
      </w:r>
    </w:p>
    <w:p w14:paraId="7F9B7812" w14:textId="77777777" w:rsidR="00854EBD" w:rsidRPr="000F5224" w:rsidRDefault="0077463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4.2 买方违约责任：</w:t>
      </w:r>
    </w:p>
    <w:p w14:paraId="03E09351" w14:textId="77777777" w:rsidR="00854EBD" w:rsidRPr="000F5224" w:rsidRDefault="0077463E" w:rsidP="0077463E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如买方逾期支付订单价款的，则买方从应付款之日三十天后起，按每天逾期付款部分的</w:t>
      </w:r>
      <w:r w:rsidRPr="000F5224">
        <w:rPr>
          <w:rFonts w:asciiTheme="minorEastAsia" w:eastAsiaTheme="minorEastAsia" w:hAnsiTheme="minorEastAsia"/>
          <w:sz w:val="24"/>
          <w:szCs w:val="24"/>
        </w:rPr>
        <w:t>0.5</w:t>
      </w:r>
      <w:r w:rsidRPr="000F5224">
        <w:rPr>
          <w:rFonts w:asciiTheme="minorEastAsia" w:eastAsiaTheme="minorEastAsia" w:hAnsiTheme="minorEastAsia" w:hint="eastAsia"/>
          <w:sz w:val="24"/>
          <w:szCs w:val="24"/>
        </w:rPr>
        <w:t>‰计算并向卖方支付违约金，并且本协议中卖方对买方的各项义务日期作相应顺延。</w:t>
      </w:r>
    </w:p>
    <w:p w14:paraId="79E59D30" w14:textId="77777777" w:rsidR="00854EBD" w:rsidRPr="000F5224" w:rsidRDefault="0077463E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sz w:val="24"/>
          <w:szCs w:val="24"/>
        </w:rPr>
        <w:t>如由于买方原因中途退货而给卖方造成损失的，买方应向卖方支付退货部分设备款总值的5%的违约金。</w:t>
      </w:r>
    </w:p>
    <w:p w14:paraId="6E1AE8C9" w14:textId="77777777" w:rsidR="00854EBD" w:rsidRPr="000F5224" w:rsidRDefault="0077463E">
      <w:pPr>
        <w:numPr>
          <w:ilvl w:val="0"/>
          <w:numId w:val="9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其他</w:t>
      </w:r>
    </w:p>
    <w:p w14:paraId="35F441FC" w14:textId="77777777" w:rsidR="00854EBD" w:rsidRPr="000F5224" w:rsidRDefault="0077463E">
      <w:pPr>
        <w:numPr>
          <w:ilvl w:val="0"/>
          <w:numId w:val="13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本协议经双方授权代表签字并加盖单位合同专用章或公章后生效，有效期至2025年5月30日终止。</w:t>
      </w:r>
    </w:p>
    <w:p w14:paraId="7D9DEC9F" w14:textId="77777777" w:rsidR="00854EBD" w:rsidRPr="000F5224" w:rsidRDefault="0077463E">
      <w:pPr>
        <w:numPr>
          <w:ilvl w:val="0"/>
          <w:numId w:val="13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在上述有效期结束前的最后30个工作日内，双方将就今后销售事宜进行磋商。如双方就今后销售事宜达成一致，本协议可以续展，由双方另行签订续展协议。但如果在本协议有效期满后，买方继续按照本合作协议的约定采用订单的形式进行采购，如卖方也按照订单的要求继续供货和提供服务，则前述有效期满后的订单应有效，并受本协议的约束。</w:t>
      </w:r>
    </w:p>
    <w:p w14:paraId="04F494DD" w14:textId="77777777" w:rsidR="00854EBD" w:rsidRPr="000F5224" w:rsidRDefault="0077463E">
      <w:pPr>
        <w:numPr>
          <w:ilvl w:val="0"/>
          <w:numId w:val="13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F5224">
        <w:rPr>
          <w:rFonts w:asciiTheme="minorEastAsia" w:eastAsiaTheme="minorEastAsia" w:hAnsiTheme="minorEastAsia" w:cs="宋体" w:hint="eastAsia"/>
          <w:sz w:val="24"/>
          <w:szCs w:val="24"/>
        </w:rPr>
        <w:t>除本协议另行约定外，如双方就今后采购事宜不能达成一致，则有效期满后本协议终止。</w:t>
      </w:r>
    </w:p>
    <w:p w14:paraId="29840E45" w14:textId="77777777" w:rsidR="00854EBD" w:rsidRPr="000F5224" w:rsidRDefault="0077463E">
      <w:pPr>
        <w:numPr>
          <w:ilvl w:val="0"/>
          <w:numId w:val="2"/>
        </w:num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对公司的影响</w:t>
      </w:r>
    </w:p>
    <w:p w14:paraId="129C7B40" w14:textId="77777777" w:rsidR="00D248AE" w:rsidRPr="000F5224" w:rsidRDefault="00D248AE" w:rsidP="00D248A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  <w:shd w:val="clear" w:color="auto" w:fill="FFFFFF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该设备采购为华孚新疆人工智能计算中心（暨阿克苏城市</w:t>
      </w:r>
      <w:proofErr w:type="gramStart"/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公共算力平台</w:t>
      </w:r>
      <w:proofErr w:type="gramEnd"/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）项目所需要，相关设备为该项目投资计划及预算内的计算硬件设备。</w:t>
      </w:r>
    </w:p>
    <w:p w14:paraId="1DBECDF4" w14:textId="45F21CB2" w:rsidR="00D248AE" w:rsidRPr="000F5224" w:rsidRDefault="00D248AE" w:rsidP="00D248A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  <w:shd w:val="clear" w:color="auto" w:fill="FFFFFF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lastRenderedPageBreak/>
        <w:t>该项采购有助于加快引进供应</w:t>
      </w:r>
      <w:proofErr w:type="gramStart"/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商最新一代算力</w:t>
      </w:r>
      <w:proofErr w:type="gramEnd"/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服务器，一方面将更好地承接和满足东部计算任务，为地方政府、国内高校、国家科研机构、关键基础设施行业以及企业客户提供AI</w:t>
      </w:r>
      <w:proofErr w:type="gramStart"/>
      <w:r w:rsidR="000F5224"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算力服务</w:t>
      </w:r>
      <w:proofErr w:type="gramEnd"/>
      <w:r w:rsidR="000F5224"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与支持，另一方面公司</w:t>
      </w: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携同合作伙伴，在基础上开展纺织服装专业模型及应用的研发，从而加快公司转型升级步伐，培育公司创新动能。合同签署不会影响公司的主营业务</w:t>
      </w:r>
      <w:r w:rsidR="000F5224"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开展</w:t>
      </w: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</w:rPr>
        <w:t>。</w:t>
      </w:r>
    </w:p>
    <w:p w14:paraId="30D37B5D" w14:textId="3BEFBA6B" w:rsidR="00854EBD" w:rsidRPr="000F5224" w:rsidRDefault="0077463E" w:rsidP="00D248AE">
      <w:pPr>
        <w:numPr>
          <w:ilvl w:val="0"/>
          <w:numId w:val="2"/>
        </w:numPr>
        <w:spacing w:line="360" w:lineRule="auto"/>
        <w:ind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风险分析</w:t>
      </w:r>
    </w:p>
    <w:p w14:paraId="0F0D2C69" w14:textId="77777777" w:rsidR="00854EBD" w:rsidRPr="000F5224" w:rsidRDefault="0077463E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Cs w:val="24"/>
        </w:rPr>
      </w:pPr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本次设备购买交易三方均具有合同履行能力，后续合同履行过程中，可能面临宏观环境变化、技术升级、设备价格变化、自然灾害等突发事件以及其他不可抗力因素所带来的风险。</w:t>
      </w:r>
    </w:p>
    <w:p w14:paraId="69EB3A5D" w14:textId="77777777" w:rsidR="00854EBD" w:rsidRPr="000F5224" w:rsidRDefault="0077463E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Cs w:val="24"/>
        </w:rPr>
      </w:pPr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本次交易标的为</w:t>
      </w:r>
      <w:proofErr w:type="gramStart"/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人工智能算力服务器</w:t>
      </w:r>
      <w:proofErr w:type="gramEnd"/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及相关的存储、网络、安全等配套设备，主要应用</w:t>
      </w:r>
      <w:proofErr w:type="gramStart"/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于算力</w:t>
      </w:r>
      <w:proofErr w:type="gramEnd"/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服务领域，为公司阿克苏城市</w:t>
      </w:r>
      <w:proofErr w:type="gramStart"/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公共算力平台</w:t>
      </w:r>
      <w:proofErr w:type="gramEnd"/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项目发展提供硬件支持，项目后续运营过程中可能面临政策及市场变化、技术更新及设备迭代、运</w:t>
      </w:r>
      <w:proofErr w:type="gramStart"/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维人员</w:t>
      </w:r>
      <w:proofErr w:type="gramEnd"/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及储备、资金筹措等经营管理风险。</w:t>
      </w:r>
    </w:p>
    <w:p w14:paraId="376D5C1C" w14:textId="77777777" w:rsidR="00854EBD" w:rsidRPr="000F5224" w:rsidRDefault="0077463E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Cs w:val="24"/>
          <w:shd w:val="clear" w:color="auto" w:fill="FFFFFF"/>
        </w:rPr>
      </w:pPr>
      <w:r w:rsidRPr="000F5224">
        <w:rPr>
          <w:rFonts w:asciiTheme="minorEastAsia" w:eastAsiaTheme="minorEastAsia" w:hAnsiTheme="minorEastAsia" w:cs="宋体" w:hint="eastAsia"/>
          <w:szCs w:val="24"/>
          <w:shd w:val="clear" w:color="auto" w:fill="FFFFFF"/>
        </w:rPr>
        <w:t>公司将持续关注合同履行及项目建设运营情况，并按照要求及时履行信息披露义务，敬请广大投资者注意投资风险。</w:t>
      </w:r>
    </w:p>
    <w:p w14:paraId="26BEEFEB" w14:textId="77777777" w:rsidR="00854EBD" w:rsidRPr="000F5224" w:rsidRDefault="0077463E">
      <w:pPr>
        <w:numPr>
          <w:ilvl w:val="0"/>
          <w:numId w:val="2"/>
        </w:numPr>
        <w:spacing w:line="360" w:lineRule="auto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F5224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14:paraId="087CAAA6" w14:textId="77777777" w:rsidR="00854EBD" w:rsidRPr="000F5224" w:rsidRDefault="0077463E">
      <w:pPr>
        <w:numPr>
          <w:ilvl w:val="0"/>
          <w:numId w:val="14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与昆仑技术《设备与服务框架销售合同》</w:t>
      </w:r>
    </w:p>
    <w:p w14:paraId="7F876172" w14:textId="77777777" w:rsidR="00854EBD" w:rsidRPr="000F5224" w:rsidRDefault="0077463E">
      <w:pPr>
        <w:numPr>
          <w:ilvl w:val="0"/>
          <w:numId w:val="14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与华鲲振宇《设备与服务合作框架协议》</w:t>
      </w:r>
    </w:p>
    <w:p w14:paraId="635167B8" w14:textId="77777777" w:rsidR="00854EBD" w:rsidRPr="000F5224" w:rsidRDefault="0077463E">
      <w:pPr>
        <w:spacing w:line="360" w:lineRule="auto"/>
        <w:jc w:val="right"/>
        <w:rPr>
          <w:rFonts w:asciiTheme="minorEastAsia" w:eastAsia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华孚时尚股份有限公司董事会</w:t>
      </w:r>
    </w:p>
    <w:p w14:paraId="470E480E" w14:textId="4229289D" w:rsidR="00854EBD" w:rsidRPr="000F5224" w:rsidRDefault="00AD059F">
      <w:pPr>
        <w:spacing w:line="360" w:lineRule="auto"/>
        <w:jc w:val="right"/>
        <w:rPr>
          <w:rFonts w:asciiTheme="minorEastAsia" w:eastAsia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  <w:r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二〇</w:t>
      </w:r>
      <w:r w:rsidR="004A407C"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二四</w:t>
      </w:r>
      <w:r w:rsidR="0077463E"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年</w:t>
      </w:r>
      <w:r w:rsidR="004A407C"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七</w:t>
      </w:r>
      <w:r w:rsidR="0077463E"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月</w:t>
      </w:r>
      <w:r w:rsidR="004A407C"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十三</w:t>
      </w:r>
      <w:r w:rsidR="0077463E" w:rsidRPr="000F5224">
        <w:rPr>
          <w:rFonts w:asciiTheme="minorEastAsia" w:eastAsia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日</w:t>
      </w:r>
    </w:p>
    <w:sectPr w:rsidR="00854EBD" w:rsidRPr="000F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07783" w14:textId="77777777" w:rsidR="00967F1E" w:rsidRDefault="00967F1E" w:rsidP="0077463E">
      <w:r>
        <w:separator/>
      </w:r>
    </w:p>
  </w:endnote>
  <w:endnote w:type="continuationSeparator" w:id="0">
    <w:p w14:paraId="53873AF3" w14:textId="77777777" w:rsidR="00967F1E" w:rsidRDefault="00967F1E" w:rsidP="0077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CA89B" w14:textId="77777777" w:rsidR="00967F1E" w:rsidRDefault="00967F1E" w:rsidP="0077463E">
      <w:r>
        <w:separator/>
      </w:r>
    </w:p>
  </w:footnote>
  <w:footnote w:type="continuationSeparator" w:id="0">
    <w:p w14:paraId="3CBF1A36" w14:textId="77777777" w:rsidR="00967F1E" w:rsidRDefault="00967F1E" w:rsidP="0077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18670"/>
    <w:multiLevelType w:val="singleLevel"/>
    <w:tmpl w:val="82018670"/>
    <w:lvl w:ilvl="0">
      <w:start w:val="1"/>
      <w:numFmt w:val="decimal"/>
      <w:suff w:val="nothing"/>
      <w:lvlText w:val="（%1）"/>
      <w:lvlJc w:val="left"/>
      <w:rPr>
        <w:rFonts w:hint="default"/>
        <w:sz w:val="24"/>
        <w:szCs w:val="24"/>
      </w:rPr>
    </w:lvl>
  </w:abstractNum>
  <w:abstractNum w:abstractNumId="1">
    <w:nsid w:val="84196060"/>
    <w:multiLevelType w:val="singleLevel"/>
    <w:tmpl w:val="84196060"/>
    <w:lvl w:ilvl="0">
      <w:start w:val="1"/>
      <w:numFmt w:val="decimal"/>
      <w:suff w:val="nothing"/>
      <w:lvlText w:val="（%1）"/>
      <w:lvlJc w:val="left"/>
    </w:lvl>
  </w:abstractNum>
  <w:abstractNum w:abstractNumId="2">
    <w:nsid w:val="AAD88459"/>
    <w:multiLevelType w:val="singleLevel"/>
    <w:tmpl w:val="AAD884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B9DE0E5"/>
    <w:multiLevelType w:val="singleLevel"/>
    <w:tmpl w:val="AB9DE0E5"/>
    <w:lvl w:ilvl="0">
      <w:start w:val="1"/>
      <w:numFmt w:val="decimal"/>
      <w:suff w:val="nothing"/>
      <w:lvlText w:val="（%1）"/>
      <w:lvlJc w:val="left"/>
    </w:lvl>
  </w:abstractNum>
  <w:abstractNum w:abstractNumId="4">
    <w:nsid w:val="B1B3C19D"/>
    <w:multiLevelType w:val="singleLevel"/>
    <w:tmpl w:val="B1B3C19D"/>
    <w:lvl w:ilvl="0">
      <w:start w:val="1"/>
      <w:numFmt w:val="decimal"/>
      <w:suff w:val="nothing"/>
      <w:lvlText w:val="（%1）"/>
      <w:lvlJc w:val="left"/>
    </w:lvl>
  </w:abstractNum>
  <w:abstractNum w:abstractNumId="5">
    <w:nsid w:val="B33C8296"/>
    <w:multiLevelType w:val="singleLevel"/>
    <w:tmpl w:val="B33C8296"/>
    <w:lvl w:ilvl="0">
      <w:start w:val="1"/>
      <w:numFmt w:val="decimal"/>
      <w:suff w:val="nothing"/>
      <w:lvlText w:val="%1、"/>
      <w:lvlJc w:val="left"/>
    </w:lvl>
  </w:abstractNum>
  <w:abstractNum w:abstractNumId="6">
    <w:nsid w:val="B4B82CA6"/>
    <w:multiLevelType w:val="singleLevel"/>
    <w:tmpl w:val="B4B82CA6"/>
    <w:lvl w:ilvl="0">
      <w:start w:val="1"/>
      <w:numFmt w:val="decimal"/>
      <w:suff w:val="nothing"/>
      <w:lvlText w:val="（%1）"/>
      <w:lvlJc w:val="left"/>
      <w:rPr>
        <w:rFonts w:hint="default"/>
        <w:sz w:val="24"/>
        <w:szCs w:val="24"/>
      </w:rPr>
    </w:lvl>
  </w:abstractNum>
  <w:abstractNum w:abstractNumId="7">
    <w:nsid w:val="CFB1254F"/>
    <w:multiLevelType w:val="singleLevel"/>
    <w:tmpl w:val="CFB1254F"/>
    <w:lvl w:ilvl="0">
      <w:start w:val="1"/>
      <w:numFmt w:val="decimal"/>
      <w:suff w:val="nothing"/>
      <w:lvlText w:val="（%1）"/>
      <w:lvlJc w:val="left"/>
    </w:lvl>
  </w:abstractNum>
  <w:abstractNum w:abstractNumId="8">
    <w:nsid w:val="2A5FBAD0"/>
    <w:multiLevelType w:val="singleLevel"/>
    <w:tmpl w:val="2A5FBAD0"/>
    <w:lvl w:ilvl="0">
      <w:start w:val="1"/>
      <w:numFmt w:val="decimal"/>
      <w:suff w:val="nothing"/>
      <w:lvlText w:val="%1、"/>
      <w:lvlJc w:val="left"/>
    </w:lvl>
  </w:abstractNum>
  <w:abstractNum w:abstractNumId="9">
    <w:nsid w:val="4CEFEEB6"/>
    <w:multiLevelType w:val="singleLevel"/>
    <w:tmpl w:val="4CEFEEB6"/>
    <w:lvl w:ilvl="0">
      <w:start w:val="1"/>
      <w:numFmt w:val="decimal"/>
      <w:suff w:val="nothing"/>
      <w:lvlText w:val="%1、"/>
      <w:lvlJc w:val="left"/>
    </w:lvl>
  </w:abstractNum>
  <w:abstractNum w:abstractNumId="10">
    <w:nsid w:val="4D917A7B"/>
    <w:multiLevelType w:val="singleLevel"/>
    <w:tmpl w:val="4D917A7B"/>
    <w:lvl w:ilvl="0">
      <w:start w:val="1"/>
      <w:numFmt w:val="decimal"/>
      <w:suff w:val="nothing"/>
      <w:lvlText w:val="%1、"/>
      <w:lvlJc w:val="left"/>
    </w:lvl>
  </w:abstractNum>
  <w:abstractNum w:abstractNumId="11">
    <w:nsid w:val="57FB42DC"/>
    <w:multiLevelType w:val="singleLevel"/>
    <w:tmpl w:val="57FB42DC"/>
    <w:lvl w:ilvl="0">
      <w:start w:val="1"/>
      <w:numFmt w:val="decimal"/>
      <w:suff w:val="nothing"/>
      <w:lvlText w:val="%1、"/>
      <w:lvlJc w:val="left"/>
    </w:lvl>
  </w:abstractNum>
  <w:abstractNum w:abstractNumId="12">
    <w:nsid w:val="5E605B92"/>
    <w:multiLevelType w:val="singleLevel"/>
    <w:tmpl w:val="5E605B92"/>
    <w:lvl w:ilvl="0">
      <w:start w:val="1"/>
      <w:numFmt w:val="decimal"/>
      <w:suff w:val="nothing"/>
      <w:lvlText w:val="（%1）"/>
      <w:lvlJc w:val="left"/>
    </w:lvl>
  </w:abstractNum>
  <w:abstractNum w:abstractNumId="13">
    <w:nsid w:val="74BB15C1"/>
    <w:multiLevelType w:val="singleLevel"/>
    <w:tmpl w:val="74BB15C1"/>
    <w:lvl w:ilvl="0">
      <w:start w:val="1"/>
      <w:numFmt w:val="decimal"/>
      <w:suff w:val="nothing"/>
      <w:lvlText w:val="（%1）"/>
      <w:lvlJc w:val="left"/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699A4EE9"/>
    <w:rsid w:val="000635A5"/>
    <w:rsid w:val="000F5224"/>
    <w:rsid w:val="004A407C"/>
    <w:rsid w:val="0077463E"/>
    <w:rsid w:val="00854EBD"/>
    <w:rsid w:val="00967F1E"/>
    <w:rsid w:val="00A24725"/>
    <w:rsid w:val="00A7318D"/>
    <w:rsid w:val="00AD059F"/>
    <w:rsid w:val="00BA7CA7"/>
    <w:rsid w:val="00CA713F"/>
    <w:rsid w:val="00D248AE"/>
    <w:rsid w:val="00EF05CE"/>
    <w:rsid w:val="06D73361"/>
    <w:rsid w:val="07B641E2"/>
    <w:rsid w:val="0D4C7ED9"/>
    <w:rsid w:val="0F8D2D3B"/>
    <w:rsid w:val="10F05FFF"/>
    <w:rsid w:val="13B10A05"/>
    <w:rsid w:val="17742506"/>
    <w:rsid w:val="17FB0EA4"/>
    <w:rsid w:val="1CBC3915"/>
    <w:rsid w:val="2130749E"/>
    <w:rsid w:val="24A03FC1"/>
    <w:rsid w:val="2A91599B"/>
    <w:rsid w:val="2FFD4D16"/>
    <w:rsid w:val="31707492"/>
    <w:rsid w:val="35812566"/>
    <w:rsid w:val="35ED0620"/>
    <w:rsid w:val="39957106"/>
    <w:rsid w:val="3B7208D2"/>
    <w:rsid w:val="3EAB283F"/>
    <w:rsid w:val="40356427"/>
    <w:rsid w:val="4A317C5F"/>
    <w:rsid w:val="50DA7E35"/>
    <w:rsid w:val="570D3802"/>
    <w:rsid w:val="5895585D"/>
    <w:rsid w:val="699A4EE9"/>
    <w:rsid w:val="6C735A5D"/>
    <w:rsid w:val="71620128"/>
    <w:rsid w:val="75AB44BA"/>
    <w:rsid w:val="7DD51DDA"/>
    <w:rsid w:val="7F1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a5">
    <w:name w:val="È±Ê¡ÎÄ±¾"/>
    <w:basedOn w:val="a"/>
    <w:qFormat/>
    <w:pPr>
      <w:widowControl/>
      <w:overflowPunct w:val="0"/>
      <w:autoSpaceDE w:val="0"/>
      <w:autoSpaceDN w:val="0"/>
      <w:adjustRightInd w:val="0"/>
      <w:spacing w:before="20" w:after="20" w:line="400" w:lineRule="exact"/>
      <w:ind w:firstLine="504"/>
      <w:jc w:val="left"/>
      <w:textAlignment w:val="baseline"/>
    </w:pPr>
    <w:rPr>
      <w:kern w:val="0"/>
      <w:sz w:val="24"/>
    </w:rPr>
  </w:style>
  <w:style w:type="paragraph" w:styleId="a6">
    <w:name w:val="header"/>
    <w:basedOn w:val="a"/>
    <w:link w:val="Char"/>
    <w:rsid w:val="00774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7463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774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7463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a5">
    <w:name w:val="È±Ê¡ÎÄ±¾"/>
    <w:basedOn w:val="a"/>
    <w:qFormat/>
    <w:pPr>
      <w:widowControl/>
      <w:overflowPunct w:val="0"/>
      <w:autoSpaceDE w:val="0"/>
      <w:autoSpaceDN w:val="0"/>
      <w:adjustRightInd w:val="0"/>
      <w:spacing w:before="20" w:after="20" w:line="400" w:lineRule="exact"/>
      <w:ind w:firstLine="504"/>
      <w:jc w:val="left"/>
      <w:textAlignment w:val="baseline"/>
    </w:pPr>
    <w:rPr>
      <w:kern w:val="0"/>
      <w:sz w:val="24"/>
    </w:rPr>
  </w:style>
  <w:style w:type="paragraph" w:styleId="a6">
    <w:name w:val="header"/>
    <w:basedOn w:val="a"/>
    <w:link w:val="Char"/>
    <w:rsid w:val="00774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7463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774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7463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5558</Words>
  <Characters>5785</Characters>
  <Application>Microsoft Office Word</Application>
  <DocSecurity>0</DocSecurity>
  <Lines>221</Lines>
  <Paragraphs>103</Paragraphs>
  <ScaleCrop>false</ScaleCrop>
  <Company>MicroSoft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</dc:creator>
  <cp:lastModifiedBy>孙献</cp:lastModifiedBy>
  <cp:revision>5</cp:revision>
  <dcterms:created xsi:type="dcterms:W3CDTF">2024-07-12T07:30:00Z</dcterms:created>
  <dcterms:modified xsi:type="dcterms:W3CDTF">2024-07-12T08:32:00Z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6FFFE98FD5DC4AAC9DCAFD2A727935CC_11</vt:lpwstr>
  </property>
</Properties>
</file>