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0C" w:rsidRPr="009C2EBD" w:rsidRDefault="0015053E">
      <w:pPr>
        <w:spacing w:line="400" w:lineRule="exact"/>
        <w:rPr>
          <w:rFonts w:ascii="黑体" w:eastAsia="黑体" w:hAnsi="黑体"/>
          <w:sz w:val="20"/>
          <w:szCs w:val="24"/>
        </w:rPr>
      </w:pPr>
      <w:r w:rsidRPr="009C2EBD">
        <w:rPr>
          <w:rFonts w:ascii="黑体" w:eastAsia="黑体" w:hAnsi="黑体" w:hint="eastAsia"/>
          <w:sz w:val="20"/>
          <w:szCs w:val="24"/>
        </w:rPr>
        <w:t xml:space="preserve">证券代码：002042           </w:t>
      </w:r>
      <w:r w:rsidR="009C2EBD">
        <w:rPr>
          <w:rFonts w:ascii="黑体" w:eastAsia="黑体" w:hAnsi="黑体" w:hint="eastAsia"/>
          <w:sz w:val="20"/>
          <w:szCs w:val="24"/>
        </w:rPr>
        <w:t xml:space="preserve">    </w:t>
      </w:r>
      <w:r w:rsidRPr="009C2EBD">
        <w:rPr>
          <w:rFonts w:ascii="黑体" w:eastAsia="黑体" w:hAnsi="黑体" w:hint="eastAsia"/>
          <w:sz w:val="20"/>
          <w:szCs w:val="24"/>
        </w:rPr>
        <w:t xml:space="preserve">  证券简称：华孚时尚           </w:t>
      </w:r>
      <w:r w:rsidR="009C2EBD">
        <w:rPr>
          <w:rFonts w:ascii="黑体" w:eastAsia="黑体" w:hAnsi="黑体" w:hint="eastAsia"/>
          <w:sz w:val="20"/>
          <w:szCs w:val="24"/>
        </w:rPr>
        <w:t xml:space="preserve">    </w:t>
      </w:r>
      <w:r w:rsidRPr="009C2EBD">
        <w:rPr>
          <w:rFonts w:ascii="黑体" w:eastAsia="黑体" w:hAnsi="黑体" w:hint="eastAsia"/>
          <w:sz w:val="20"/>
          <w:szCs w:val="24"/>
        </w:rPr>
        <w:t xml:space="preserve"> 公告编号：2024-32</w:t>
      </w:r>
    </w:p>
    <w:p w:rsidR="00A0550C" w:rsidRDefault="00A0550C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A0550C" w:rsidRDefault="0015053E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A0550C" w:rsidRDefault="0015053E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关于</w:t>
      </w:r>
      <w:r w:rsidR="00EC51B0" w:rsidRPr="00EC51B0">
        <w:rPr>
          <w:rFonts w:asciiTheme="minorEastAsia" w:hAnsiTheme="minorEastAsia" w:hint="eastAsia"/>
          <w:b/>
          <w:sz w:val="36"/>
          <w:szCs w:val="24"/>
        </w:rPr>
        <w:t>投资新疆智能</w:t>
      </w:r>
      <w:proofErr w:type="gramStart"/>
      <w:r w:rsidR="00EC51B0" w:rsidRPr="00EC51B0">
        <w:rPr>
          <w:rFonts w:asciiTheme="minorEastAsia" w:hAnsiTheme="minorEastAsia" w:hint="eastAsia"/>
          <w:b/>
          <w:sz w:val="36"/>
          <w:szCs w:val="24"/>
        </w:rPr>
        <w:t>算力集群</w:t>
      </w:r>
      <w:proofErr w:type="gramEnd"/>
      <w:r w:rsidR="00EC51B0" w:rsidRPr="00EC51B0">
        <w:rPr>
          <w:rFonts w:asciiTheme="minorEastAsia" w:hAnsiTheme="minorEastAsia" w:hint="eastAsia"/>
          <w:b/>
          <w:sz w:val="36"/>
          <w:szCs w:val="24"/>
        </w:rPr>
        <w:t>项目</w:t>
      </w:r>
      <w:r>
        <w:rPr>
          <w:rFonts w:asciiTheme="minorEastAsia" w:hAnsiTheme="minorEastAsia" w:hint="eastAsia"/>
          <w:b/>
          <w:sz w:val="36"/>
          <w:szCs w:val="24"/>
        </w:rPr>
        <w:t>的公告</w:t>
      </w:r>
    </w:p>
    <w:p w:rsidR="00A0550C" w:rsidRDefault="00A0550C">
      <w:pPr>
        <w:spacing w:line="200" w:lineRule="exact"/>
        <w:jc w:val="left"/>
        <w:rPr>
          <w:rFonts w:asciiTheme="minorEastAsia" w:hAnsiTheme="minorEastAsia" w:cs="宋体"/>
          <w:kern w:val="0"/>
          <w:sz w:val="2"/>
          <w:szCs w:val="24"/>
        </w:rPr>
      </w:pPr>
    </w:p>
    <w:p w:rsidR="00A0550C" w:rsidRDefault="0015053E">
      <w:pPr>
        <w:spacing w:line="500" w:lineRule="exact"/>
        <w:ind w:firstLineChars="200" w:firstLine="480"/>
        <w:jc w:val="left"/>
        <w:rPr>
          <w:rFonts w:ascii="华文楷体" w:eastAsia="华文楷体" w:hAnsi="华文楷体" w:cs="宋体"/>
          <w:kern w:val="0"/>
          <w:sz w:val="24"/>
          <w:szCs w:val="24"/>
        </w:rPr>
      </w:pPr>
      <w:r>
        <w:rPr>
          <w:rFonts w:ascii="华文楷体" w:eastAsia="华文楷体" w:hAnsi="华文楷体" w:cs="宋体" w:hint="eastAsia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 w:rsidR="00A0550C" w:rsidRDefault="0015053E">
      <w:pPr>
        <w:spacing w:line="500" w:lineRule="exact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特别提示：</w:t>
      </w:r>
    </w:p>
    <w:p w:rsidR="00A0550C" w:rsidRDefault="0015053E">
      <w:pPr>
        <w:spacing w:line="500" w:lineRule="exact"/>
        <w:ind w:leftChars="200" w:left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1、本次投资事宜在公司董事会权限范围内，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无需要提交公司股东大会审议。</w:t>
      </w:r>
    </w:p>
    <w:p w:rsidR="00A0550C" w:rsidRDefault="0015053E">
      <w:pPr>
        <w:spacing w:line="500" w:lineRule="exact"/>
        <w:ind w:leftChars="200" w:left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2、本次投资事宜不构成关联交易，不构成重大资产重组。</w:t>
      </w:r>
    </w:p>
    <w:p w:rsidR="00A0550C" w:rsidRDefault="0015053E" w:rsidP="0015053E">
      <w:pPr>
        <w:spacing w:line="500" w:lineRule="exact"/>
        <w:ind w:rightChars="-94" w:right="-197" w:firstLineChars="177" w:firstLine="425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本次投资事宜尚需取得</w:t>
      </w:r>
      <w:r w:rsidR="009C2EBD">
        <w:rPr>
          <w:rFonts w:asciiTheme="minorEastAsia" w:hAnsiTheme="minorEastAsia" w:cs="宋体" w:hint="eastAsia"/>
          <w:kern w:val="0"/>
          <w:sz w:val="24"/>
          <w:szCs w:val="24"/>
        </w:rPr>
        <w:t>相关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部门审批。</w:t>
      </w:r>
    </w:p>
    <w:p w:rsidR="00A0550C" w:rsidRDefault="0015053E">
      <w:pPr>
        <w:spacing w:line="500" w:lineRule="exact"/>
        <w:ind w:rightChars="-27" w:right="-57"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一、本次投资概述</w:t>
      </w:r>
    </w:p>
    <w:p w:rsidR="00A0550C" w:rsidRDefault="0015053E">
      <w:pPr>
        <w:pStyle w:val="1"/>
        <w:widowControl/>
        <w:shd w:val="clear" w:color="auto" w:fill="FFFFFF"/>
        <w:spacing w:beforeAutospacing="0" w:afterAutospacing="0" w:line="500" w:lineRule="atLeast"/>
        <w:ind w:firstLineChars="200" w:firstLine="480"/>
        <w:rPr>
          <w:rFonts w:asciiTheme="minorEastAsia" w:eastAsiaTheme="minorEastAsia" w:hAnsiTheme="minorEastAsia" w:cs="宋体" w:hint="default"/>
          <w:b w:val="0"/>
          <w:bCs w:val="0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公司于2024年4月25</w:t>
      </w:r>
      <w:r w:rsidR="00A27542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日召开</w:t>
      </w:r>
      <w:r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第八届董事会第七次会议审议通过《关于投资新疆智能算力集群项目的议案》，公司通过下属子公司新疆华孚人工智能科技</w:t>
      </w:r>
      <w:r w:rsidR="009C2EBD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有限公司（以下简称“华孚人工智能”）投资</w:t>
      </w:r>
      <w:r w:rsidR="00271AB5" w:rsidRPr="00271AB5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新疆阿克苏城市</w:t>
      </w:r>
      <w:proofErr w:type="gramStart"/>
      <w:r w:rsidR="00271AB5" w:rsidRPr="00271AB5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公共算力平台</w:t>
      </w:r>
      <w:proofErr w:type="gramEnd"/>
      <w:r w:rsidR="00271AB5" w:rsidRPr="00271AB5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项目</w:t>
      </w:r>
      <w:r w:rsidR="00040790">
        <w:rPr>
          <w:rFonts w:asciiTheme="minorEastAsia" w:eastAsiaTheme="minorEastAsia" w:hAnsiTheme="minorEastAsia" w:cs="宋体"/>
          <w:b w:val="0"/>
          <w:bCs w:val="0"/>
          <w:kern w:val="0"/>
          <w:sz w:val="24"/>
          <w:szCs w:val="24"/>
        </w:rPr>
        <w:t>。</w:t>
      </w:r>
    </w:p>
    <w:p w:rsidR="00A0550C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本次投资事宜不属于关联交易，且不构成重大资产重组。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本次投资事宜在公司董事会权限范围内，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无需要提交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 w:val="24"/>
          <w:szCs w:val="24"/>
        </w:rPr>
        <w:t>公司股东大会审议。</w:t>
      </w:r>
    </w:p>
    <w:p w:rsidR="00A0550C" w:rsidRDefault="0015053E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二、投资标的基本情况</w:t>
      </w:r>
    </w:p>
    <w:p w:rsidR="00A27542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项目名称：</w:t>
      </w:r>
      <w:r w:rsidR="00EE52BC" w:rsidRPr="00EE52BC">
        <w:rPr>
          <w:rFonts w:asciiTheme="minorEastAsia" w:hAnsiTheme="minorEastAsia" w:cs="宋体" w:hint="eastAsia"/>
          <w:kern w:val="0"/>
          <w:sz w:val="24"/>
          <w:szCs w:val="24"/>
        </w:rPr>
        <w:t>新疆阿克苏城市</w:t>
      </w:r>
      <w:proofErr w:type="gramStart"/>
      <w:r w:rsidR="00EE52BC" w:rsidRPr="00EE52BC">
        <w:rPr>
          <w:rFonts w:asciiTheme="minorEastAsia" w:hAnsiTheme="minorEastAsia" w:cs="宋体" w:hint="eastAsia"/>
          <w:kern w:val="0"/>
          <w:sz w:val="24"/>
          <w:szCs w:val="24"/>
        </w:rPr>
        <w:t>公共算力平台</w:t>
      </w:r>
      <w:proofErr w:type="gramEnd"/>
      <w:r w:rsidR="00EE52BC" w:rsidRPr="00EE52BC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="00EE52BC">
        <w:rPr>
          <w:rFonts w:asciiTheme="minorEastAsia" w:hAnsiTheme="minorEastAsia" w:cs="宋体" w:hint="eastAsia"/>
          <w:kern w:val="0"/>
          <w:sz w:val="24"/>
          <w:szCs w:val="24"/>
        </w:rPr>
        <w:t>一期</w:t>
      </w:r>
    </w:p>
    <w:p w:rsidR="009C2EBD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项目地址：</w:t>
      </w:r>
      <w:r w:rsidR="00405421" w:rsidRPr="00405421">
        <w:rPr>
          <w:rFonts w:asciiTheme="minorEastAsia" w:hAnsiTheme="minorEastAsia" w:cs="宋体" w:hint="eastAsia"/>
          <w:kern w:val="0"/>
          <w:sz w:val="24"/>
          <w:szCs w:val="24"/>
        </w:rPr>
        <w:t>阿克苏阿拉尔高新技术产业开发区</w:t>
      </w:r>
      <w:r w:rsidR="009C2EBD">
        <w:rPr>
          <w:rFonts w:asciiTheme="minorEastAsia" w:hAnsiTheme="minorEastAsia" w:cs="宋体" w:hint="eastAsia"/>
          <w:kern w:val="0"/>
          <w:sz w:val="24"/>
          <w:szCs w:val="24"/>
        </w:rPr>
        <w:t>内的</w:t>
      </w:r>
      <w:bookmarkStart w:id="1" w:name="_Hlk164431699"/>
      <w:r w:rsidR="009C2EBD">
        <w:rPr>
          <w:rFonts w:asciiTheme="minorEastAsia" w:hAnsiTheme="minorEastAsia" w:cs="宋体" w:hint="eastAsia"/>
          <w:kern w:val="0"/>
          <w:sz w:val="24"/>
          <w:szCs w:val="24"/>
        </w:rPr>
        <w:t>新疆阿克苏人工智能产业园</w:t>
      </w:r>
      <w:bookmarkEnd w:id="1"/>
      <w:r w:rsidR="009C2EBD">
        <w:rPr>
          <w:rFonts w:asciiTheme="minorEastAsia" w:hAnsiTheme="minorEastAsia" w:cs="宋体" w:hint="eastAsia"/>
          <w:kern w:val="0"/>
          <w:sz w:val="24"/>
          <w:szCs w:val="24"/>
        </w:rPr>
        <w:t>。项目落位东至郑州路、南至甬江路、西至纺织大道、北至浙江路范围内。</w:t>
      </w:r>
    </w:p>
    <w:p w:rsidR="00A0550C" w:rsidRDefault="009C2EBD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投资金额</w:t>
      </w:r>
      <w:r w:rsidR="0015053E">
        <w:rPr>
          <w:rFonts w:asciiTheme="minorEastAsia" w:hAnsiTheme="minorEastAsia" w:cs="宋体" w:hint="eastAsia"/>
          <w:kern w:val="0"/>
          <w:sz w:val="24"/>
          <w:szCs w:val="24"/>
        </w:rPr>
        <w:t>：27.2亿元人民币</w:t>
      </w:r>
    </w:p>
    <w:p w:rsidR="00DA0588" w:rsidRPr="00DA0588" w:rsidRDefault="00DA0588" w:rsidP="00DA0588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DA0588">
        <w:rPr>
          <w:rFonts w:asciiTheme="minorEastAsia" w:hAnsiTheme="minorEastAsia" w:cs="宋体" w:hint="eastAsia"/>
          <w:kern w:val="0"/>
          <w:sz w:val="24"/>
          <w:szCs w:val="24"/>
        </w:rPr>
        <w:t>建设内容：</w:t>
      </w:r>
      <w:r w:rsidR="00E05700" w:rsidRPr="00DA0588">
        <w:rPr>
          <w:rFonts w:asciiTheme="minorEastAsia" w:hAnsiTheme="minorEastAsia" w:cs="宋体" w:hint="eastAsia"/>
          <w:kern w:val="0"/>
          <w:sz w:val="24"/>
          <w:szCs w:val="24"/>
        </w:rPr>
        <w:t>打造</w:t>
      </w:r>
      <w:r w:rsidR="00E05700" w:rsidRPr="00E05700">
        <w:rPr>
          <w:rFonts w:asciiTheme="minorEastAsia" w:hAnsiTheme="minorEastAsia" w:cs="宋体" w:hint="eastAsia"/>
          <w:kern w:val="0"/>
          <w:sz w:val="24"/>
          <w:szCs w:val="24"/>
        </w:rPr>
        <w:t>基于全栈国产化的超大规模智能算力集群</w:t>
      </w:r>
      <w:r w:rsidR="00E05700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DA0588">
        <w:rPr>
          <w:rFonts w:asciiTheme="minorEastAsia" w:hAnsiTheme="minorEastAsia" w:cs="宋体" w:hint="eastAsia"/>
          <w:kern w:val="0"/>
          <w:sz w:val="24"/>
          <w:szCs w:val="24"/>
        </w:rPr>
        <w:t>其中一期为10000张智能计算卡，构建以国产下一代高性能计算服务器为主的异构算力集群。</w:t>
      </w:r>
    </w:p>
    <w:p w:rsidR="00A0550C" w:rsidRDefault="00A27542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资金来源：</w:t>
      </w:r>
      <w:r w:rsidR="0015053E">
        <w:rPr>
          <w:rFonts w:asciiTheme="minorEastAsia" w:hAnsiTheme="minorEastAsia" w:cs="宋体" w:hint="eastAsia"/>
          <w:kern w:val="0"/>
          <w:sz w:val="24"/>
          <w:szCs w:val="24"/>
        </w:rPr>
        <w:t>由公司自筹资金解决</w:t>
      </w:r>
    </w:p>
    <w:p w:rsidR="00A0550C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建设单位：新疆华孚人工智能科技有限公司</w:t>
      </w:r>
    </w:p>
    <w:p w:rsidR="00A0550C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建设单位股东及出资比例：阿克苏华孚科技有限公司持有100%股份</w:t>
      </w:r>
    </w:p>
    <w:p w:rsidR="00A0550C" w:rsidRDefault="0015053E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主营业务：一般项目：人工智能应用软件开发；软件开发；人工智能行业应</w:t>
      </w: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用系统集成服务；信息系统集成服务；人工智能通用应用系统；工业互联网数据服务；信息系统运行维护服务；计算机系统服务；园区管理服务；新兴能源技术研发；智能机器人的研发；新材料技术研发；生物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基材料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技术研发；新材料技术推广服务；技术服务、技术开发、技术咨询、技术交流、技术转让、技术推广；以自有资金从事投资活动；企业管理；企业管理咨询；信息技术咨询服务；网络与信息安全软件开发；数据处理服务；数字技术服务；专业设计服务；工业设计服务；发电技术服务；风力发电技术服务；太阳能发电技术服务；合同能源管理；工程技术服务（规划管理、勘察、设计、监理除外）。（除依法须经批准的项目外，凭营业执照依法自主开展经营活动）许可项目：在线数据处理与交易处理业务（经营类电子商务）；互联网信息服务。（依法须经批准的项目，经相关部门批准后方可开展经营活动，具体经营项目以相关部门批准文件或许可证件为准）</w:t>
      </w:r>
    </w:p>
    <w:p w:rsidR="00A0550C" w:rsidRDefault="0015053E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三、本次对外投资对公司的影响</w:t>
      </w:r>
    </w:p>
    <w:p w:rsidR="00A0550C" w:rsidRDefault="0015053E">
      <w:pPr>
        <w:spacing w:line="50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本次项目实施符合公司“坚持主业，共享产业，发展新业”的战略主题，标志着</w:t>
      </w:r>
      <w:r w:rsidR="00271AB5" w:rsidRPr="00271AB5">
        <w:rPr>
          <w:rFonts w:asciiTheme="minorEastAsia" w:hAnsiTheme="minorEastAsia" w:cs="宋体" w:hint="eastAsia"/>
          <w:kern w:val="0"/>
          <w:sz w:val="24"/>
          <w:szCs w:val="24"/>
        </w:rPr>
        <w:t>新疆阿克苏城市公共算力平台项目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正式启动，</w:t>
      </w:r>
      <w:r w:rsidR="00040790">
        <w:rPr>
          <w:rFonts w:asciiTheme="minorEastAsia" w:hAnsiTheme="minorEastAsia" w:cs="宋体" w:hint="eastAsia"/>
          <w:kern w:val="0"/>
          <w:sz w:val="24"/>
          <w:szCs w:val="24"/>
        </w:rPr>
        <w:t>新疆阿克苏城市公共算力平台项</w:t>
      </w:r>
      <w:r w:rsidR="00271AB5">
        <w:rPr>
          <w:rFonts w:asciiTheme="minorEastAsia" w:hAnsiTheme="minorEastAsia" w:cs="宋体"/>
          <w:kern w:val="0"/>
          <w:sz w:val="24"/>
          <w:szCs w:val="24"/>
        </w:rPr>
        <w:t>目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建成后将承接东部计算任务，为地方政府、国内高校、国家实验室、关键基础设施行业以及企业客户提供AI算力服务与支持，并为“一带一路”的算力需求提供有力保障。</w:t>
      </w:r>
    </w:p>
    <w:p w:rsidR="00A0550C" w:rsidRDefault="0015053E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四、对外投资的风险分析</w:t>
      </w:r>
    </w:p>
    <w:p w:rsidR="00A0550C" w:rsidRDefault="0015053E">
      <w:pPr>
        <w:pStyle w:val="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eastAsiaTheme="minorEastAsia" w:hAnsiTheme="minorEastAsia" w:cs="宋体" w:hint="default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1、政策及市场风险</w:t>
      </w:r>
    </w:p>
    <w:p w:rsidR="00A0550C" w:rsidRDefault="0015053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项目投资及后续经营过程中存在市场竞争加剧、设备价格波动等风险，同时也存在相关产业政策变化等风险，上述风险可能会对公司该项目投资及效益达成情况存在不利影响。公司将持续关注政策及市场需求变化，积极开拓市场降低相关风险。</w:t>
      </w:r>
    </w:p>
    <w:p w:rsidR="00A0550C" w:rsidRDefault="0015053E">
      <w:pPr>
        <w:pStyle w:val="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eastAsiaTheme="minorEastAsia" w:hAnsiTheme="minorEastAsia" w:cs="宋体" w:hint="default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2、技术更新及设备迭代较快风险</w:t>
      </w:r>
    </w:p>
    <w:p w:rsidR="00A0550C" w:rsidRDefault="0015053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项目建设存在一定周期，设备及技术更新迭代较快，项目建设及后续运营过程中存在设备落后及老化风险，会对公司项目运营存在不利影响。公司将积极关注技术更新及设备迭代情况，持续提升项目管理水平及运营团队技术水平。</w:t>
      </w:r>
    </w:p>
    <w:p w:rsidR="00A0550C" w:rsidRDefault="0015053E">
      <w:pPr>
        <w:pStyle w:val="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eastAsiaTheme="minorEastAsia" w:hAnsiTheme="minorEastAsia" w:cs="宋体" w:hint="default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lastRenderedPageBreak/>
        <w:t>3、运</w:t>
      </w:r>
      <w:proofErr w:type="gramStart"/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维人员</w:t>
      </w:r>
      <w:proofErr w:type="gramEnd"/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及储备风险</w:t>
      </w:r>
    </w:p>
    <w:p w:rsidR="00A0550C" w:rsidRDefault="0015053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该项目投资对技术要求相对较高，公司目前虽然有相关技术人员储备，但后续随市场需求变化及技术更新等影响，公司现有的人员储备能否支撑项目运营尚存在不确定性，公司计划后续将持续关注项目人员需求情况，积极储备相关人员，降低相关风险。</w:t>
      </w:r>
    </w:p>
    <w:p w:rsidR="00A0550C" w:rsidRDefault="0015053E">
      <w:pPr>
        <w:pStyle w:val="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eastAsiaTheme="minorEastAsia" w:hAnsiTheme="minorEastAsia" w:cs="宋体" w:hint="default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宋体"/>
          <w:b w:val="0"/>
          <w:bCs w:val="0"/>
          <w:sz w:val="24"/>
          <w:szCs w:val="24"/>
        </w:rPr>
        <w:t>4、资金筹措风险</w:t>
      </w:r>
    </w:p>
    <w:p w:rsidR="00A0550C" w:rsidRDefault="0015053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项目投资资金来源均为公司自筹资金，且项目建设周期较长及所需金额较大，可能存在资金筹措不足，影响项目实施的风险，后续公司将加强现金流管理，努力降低财务风险。</w:t>
      </w:r>
    </w:p>
    <w:p w:rsidR="00A0550C" w:rsidRDefault="0015053E">
      <w:pPr>
        <w:pStyle w:val="a5"/>
        <w:widowControl/>
        <w:shd w:val="clear" w:color="auto" w:fill="FFFFFF"/>
        <w:spacing w:beforeAutospacing="0" w:afterAutospacing="0" w:line="500" w:lineRule="exact"/>
        <w:ind w:firstLineChars="200" w:firstLine="480"/>
        <w:jc w:val="both"/>
        <w:rPr>
          <w:rFonts w:asciiTheme="minorEastAsia" w:hAnsiTheme="minorEastAsia" w:cs="宋体"/>
          <w:szCs w:val="24"/>
        </w:rPr>
      </w:pPr>
      <w:r>
        <w:rPr>
          <w:rFonts w:asciiTheme="minorEastAsia" w:hAnsiTheme="minorEastAsia" w:cs="宋体" w:hint="eastAsia"/>
          <w:szCs w:val="24"/>
        </w:rPr>
        <w:t>以上风险为公司可能预见的风险，后续可能会面临其他未知风险，公司将持续关注项目投资的实际进展情况，并根据相关进展另行履行相应的审议程序及信息披露义务，敬请广大投资者注意投资风险。</w:t>
      </w:r>
    </w:p>
    <w:p w:rsidR="00A0550C" w:rsidRDefault="0015053E">
      <w:pPr>
        <w:spacing w:line="50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五、备查文件</w:t>
      </w:r>
    </w:p>
    <w:p w:rsidR="00A0550C" w:rsidRDefault="0015053E">
      <w:pPr>
        <w:spacing w:line="50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公司第八届董事会第七次会议决议。</w:t>
      </w:r>
    </w:p>
    <w:p w:rsidR="00A0550C" w:rsidRDefault="00A0550C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A0550C" w:rsidRDefault="0015053E">
      <w:pPr>
        <w:autoSpaceDE w:val="0"/>
        <w:autoSpaceDN w:val="0"/>
        <w:adjustRightInd w:val="0"/>
        <w:spacing w:line="5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华孚时尚股份有限公司董事会</w:t>
      </w:r>
    </w:p>
    <w:p w:rsidR="00A0550C" w:rsidRDefault="0015053E">
      <w:pPr>
        <w:spacing w:line="50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二〇二四年四月二十七日</w:t>
      </w:r>
    </w:p>
    <w:p w:rsidR="00A0550C" w:rsidRDefault="00A0550C">
      <w:pPr>
        <w:spacing w:line="500" w:lineRule="exact"/>
      </w:pPr>
    </w:p>
    <w:sectPr w:rsidR="00A0550C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17" w:rsidRDefault="00F75017" w:rsidP="005D53A8">
      <w:r>
        <w:separator/>
      </w:r>
    </w:p>
  </w:endnote>
  <w:endnote w:type="continuationSeparator" w:id="0">
    <w:p w:rsidR="00F75017" w:rsidRDefault="00F75017" w:rsidP="005D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17" w:rsidRDefault="00F75017" w:rsidP="005D53A8">
      <w:r>
        <w:separator/>
      </w:r>
    </w:p>
  </w:footnote>
  <w:footnote w:type="continuationSeparator" w:id="0">
    <w:p w:rsidR="00F75017" w:rsidRDefault="00F75017" w:rsidP="005D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EA0FF4"/>
    <w:rsid w:val="00035550"/>
    <w:rsid w:val="0003765C"/>
    <w:rsid w:val="00040790"/>
    <w:rsid w:val="00042E5A"/>
    <w:rsid w:val="0004575A"/>
    <w:rsid w:val="0006344D"/>
    <w:rsid w:val="0007091B"/>
    <w:rsid w:val="00072C94"/>
    <w:rsid w:val="00074178"/>
    <w:rsid w:val="000A1A11"/>
    <w:rsid w:val="0014039E"/>
    <w:rsid w:val="0015053E"/>
    <w:rsid w:val="001825D3"/>
    <w:rsid w:val="00182FDB"/>
    <w:rsid w:val="00196CC9"/>
    <w:rsid w:val="001A4360"/>
    <w:rsid w:val="002657D4"/>
    <w:rsid w:val="00271AB5"/>
    <w:rsid w:val="002944BA"/>
    <w:rsid w:val="002B6D1B"/>
    <w:rsid w:val="002C1E37"/>
    <w:rsid w:val="00314A01"/>
    <w:rsid w:val="003377B6"/>
    <w:rsid w:val="00364842"/>
    <w:rsid w:val="00372696"/>
    <w:rsid w:val="003C36CF"/>
    <w:rsid w:val="003D0A1A"/>
    <w:rsid w:val="003D1B1E"/>
    <w:rsid w:val="003D2249"/>
    <w:rsid w:val="003E34A0"/>
    <w:rsid w:val="00405421"/>
    <w:rsid w:val="00440B6B"/>
    <w:rsid w:val="00442846"/>
    <w:rsid w:val="00456320"/>
    <w:rsid w:val="004A37FD"/>
    <w:rsid w:val="004A534E"/>
    <w:rsid w:val="004F7A49"/>
    <w:rsid w:val="00522905"/>
    <w:rsid w:val="00526046"/>
    <w:rsid w:val="00530C0E"/>
    <w:rsid w:val="00533147"/>
    <w:rsid w:val="0053358D"/>
    <w:rsid w:val="00552D82"/>
    <w:rsid w:val="005A31C2"/>
    <w:rsid w:val="005C2FA3"/>
    <w:rsid w:val="005D53A8"/>
    <w:rsid w:val="005E35ED"/>
    <w:rsid w:val="005F7085"/>
    <w:rsid w:val="005F7477"/>
    <w:rsid w:val="00601CEB"/>
    <w:rsid w:val="00607414"/>
    <w:rsid w:val="0067639F"/>
    <w:rsid w:val="006A6FB0"/>
    <w:rsid w:val="006E09A7"/>
    <w:rsid w:val="006F79A4"/>
    <w:rsid w:val="00746AB2"/>
    <w:rsid w:val="0076691D"/>
    <w:rsid w:val="00782DDC"/>
    <w:rsid w:val="00793AB5"/>
    <w:rsid w:val="007A355B"/>
    <w:rsid w:val="007E5071"/>
    <w:rsid w:val="007E6D58"/>
    <w:rsid w:val="007F5321"/>
    <w:rsid w:val="00805822"/>
    <w:rsid w:val="00813EE2"/>
    <w:rsid w:val="00815493"/>
    <w:rsid w:val="0081676E"/>
    <w:rsid w:val="00833D20"/>
    <w:rsid w:val="00841642"/>
    <w:rsid w:val="008674E0"/>
    <w:rsid w:val="00874542"/>
    <w:rsid w:val="00927EB6"/>
    <w:rsid w:val="00945524"/>
    <w:rsid w:val="00945B84"/>
    <w:rsid w:val="00964910"/>
    <w:rsid w:val="00967CBE"/>
    <w:rsid w:val="009C2EBD"/>
    <w:rsid w:val="009F3753"/>
    <w:rsid w:val="00A0550C"/>
    <w:rsid w:val="00A27387"/>
    <w:rsid w:val="00A27542"/>
    <w:rsid w:val="00A313CE"/>
    <w:rsid w:val="00A32C5F"/>
    <w:rsid w:val="00A52511"/>
    <w:rsid w:val="00A56B00"/>
    <w:rsid w:val="00A9404C"/>
    <w:rsid w:val="00AA36CB"/>
    <w:rsid w:val="00AA4387"/>
    <w:rsid w:val="00AD2B3B"/>
    <w:rsid w:val="00B22BB3"/>
    <w:rsid w:val="00B61858"/>
    <w:rsid w:val="00BD526E"/>
    <w:rsid w:val="00BF370A"/>
    <w:rsid w:val="00C0404D"/>
    <w:rsid w:val="00C2797B"/>
    <w:rsid w:val="00C3391A"/>
    <w:rsid w:val="00C92D74"/>
    <w:rsid w:val="00CA7E70"/>
    <w:rsid w:val="00D10B21"/>
    <w:rsid w:val="00D1786A"/>
    <w:rsid w:val="00D20C87"/>
    <w:rsid w:val="00D24604"/>
    <w:rsid w:val="00DA0588"/>
    <w:rsid w:val="00DC611B"/>
    <w:rsid w:val="00DD5A6D"/>
    <w:rsid w:val="00E05700"/>
    <w:rsid w:val="00E34C75"/>
    <w:rsid w:val="00E3638A"/>
    <w:rsid w:val="00E448FC"/>
    <w:rsid w:val="00E450F4"/>
    <w:rsid w:val="00EA0FF4"/>
    <w:rsid w:val="00EA579C"/>
    <w:rsid w:val="00EC51B0"/>
    <w:rsid w:val="00EE52BC"/>
    <w:rsid w:val="00EF51E7"/>
    <w:rsid w:val="00F0191E"/>
    <w:rsid w:val="00F17574"/>
    <w:rsid w:val="00F53937"/>
    <w:rsid w:val="00F75017"/>
    <w:rsid w:val="158C3568"/>
    <w:rsid w:val="2D1C4D7A"/>
    <w:rsid w:val="44654E01"/>
    <w:rsid w:val="48643D4D"/>
    <w:rsid w:val="58E1633E"/>
    <w:rsid w:val="6D363142"/>
    <w:rsid w:val="7CD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5">
    <w:name w:val="heading 5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autoRedefine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274</Words>
  <Characters>1567</Characters>
  <Application>Microsoft Office Word</Application>
  <DocSecurity>0</DocSecurity>
  <Lines>13</Lines>
  <Paragraphs>3</Paragraphs>
  <ScaleCrop>false</ScaleCrop>
  <Company>微软公司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31</cp:revision>
  <cp:lastPrinted>2018-12-13T08:42:00Z</cp:lastPrinted>
  <dcterms:created xsi:type="dcterms:W3CDTF">2018-12-16T00:50:00Z</dcterms:created>
  <dcterms:modified xsi:type="dcterms:W3CDTF">2024-04-26T14:07:00Z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2B1F5C60EA3449C091EF8CE93963A7D3_12</vt:lpwstr>
  </property>
</Properties>
</file>