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57" w:rsidRDefault="008320FD">
      <w:pPr>
        <w:spacing w:line="360" w:lineRule="auto"/>
        <w:jc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证券代码：</w:t>
      </w:r>
      <w:r>
        <w:rPr>
          <w:rFonts w:ascii="黑体" w:eastAsia="黑体" w:hAnsi="黑体"/>
          <w:kern w:val="0"/>
          <w:szCs w:val="21"/>
        </w:rPr>
        <w:t xml:space="preserve">002042     </w:t>
      </w:r>
      <w:r>
        <w:rPr>
          <w:rFonts w:ascii="黑体" w:eastAsia="黑体" w:hAnsi="黑体" w:hint="eastAsia"/>
          <w:kern w:val="0"/>
          <w:szCs w:val="21"/>
        </w:rPr>
        <w:t xml:space="preserve">  </w:t>
      </w:r>
      <w:r>
        <w:rPr>
          <w:rFonts w:ascii="黑体" w:eastAsia="黑体" w:hAnsi="黑体"/>
          <w:kern w:val="0"/>
          <w:szCs w:val="21"/>
        </w:rPr>
        <w:t xml:space="preserve">   </w:t>
      </w:r>
      <w:r>
        <w:rPr>
          <w:rFonts w:ascii="黑体" w:eastAsia="黑体" w:hAnsi="黑体" w:hint="eastAsia"/>
          <w:kern w:val="0"/>
          <w:szCs w:val="21"/>
        </w:rPr>
        <w:t xml:space="preserve">  </w:t>
      </w:r>
      <w:r>
        <w:rPr>
          <w:rFonts w:ascii="黑体" w:eastAsia="黑体" w:hAnsi="黑体"/>
          <w:kern w:val="0"/>
          <w:szCs w:val="21"/>
        </w:rPr>
        <w:t xml:space="preserve"> </w:t>
      </w:r>
      <w:r>
        <w:rPr>
          <w:rFonts w:ascii="黑体" w:eastAsia="黑体" w:hAnsi="黑体" w:hint="eastAsia"/>
          <w:kern w:val="0"/>
          <w:szCs w:val="21"/>
        </w:rPr>
        <w:t>证券简称：华孚时尚</w:t>
      </w:r>
      <w:r>
        <w:rPr>
          <w:rFonts w:ascii="黑体" w:eastAsia="黑体" w:hAnsi="黑体"/>
          <w:kern w:val="0"/>
          <w:szCs w:val="21"/>
        </w:rPr>
        <w:t xml:space="preserve">    </w:t>
      </w:r>
      <w:r>
        <w:rPr>
          <w:rFonts w:ascii="黑体" w:eastAsia="黑体" w:hAnsi="黑体" w:hint="eastAsia"/>
          <w:kern w:val="0"/>
          <w:szCs w:val="21"/>
        </w:rPr>
        <w:t xml:space="preserve">    </w:t>
      </w:r>
      <w:r>
        <w:rPr>
          <w:rFonts w:ascii="黑体" w:eastAsia="黑体" w:hAnsi="黑体"/>
          <w:kern w:val="0"/>
          <w:szCs w:val="21"/>
        </w:rPr>
        <w:t xml:space="preserve">    </w:t>
      </w:r>
      <w:r>
        <w:rPr>
          <w:rFonts w:ascii="黑体" w:eastAsia="黑体" w:hAnsi="黑体" w:hint="eastAsia"/>
          <w:kern w:val="0"/>
          <w:szCs w:val="21"/>
        </w:rPr>
        <w:t>公告编号：2024-0</w:t>
      </w:r>
      <w:r w:rsidR="006F5E23">
        <w:rPr>
          <w:rFonts w:ascii="黑体" w:eastAsia="黑体" w:hAnsi="黑体" w:hint="eastAsia"/>
          <w:kern w:val="0"/>
          <w:szCs w:val="21"/>
        </w:rPr>
        <w:t>5</w:t>
      </w:r>
    </w:p>
    <w:p w:rsidR="006B3357" w:rsidRDefault="008320FD" w:rsidP="00D26AD3">
      <w:pPr>
        <w:spacing w:beforeLines="100" w:before="312" w:line="360" w:lineRule="auto"/>
        <w:ind w:firstLine="622"/>
        <w:jc w:val="center"/>
        <w:rPr>
          <w:rFonts w:ascii="Times New Roman" w:eastAsia="宋体" w:hAnsi="Times New Roman"/>
          <w:b/>
          <w:bCs/>
          <w:spacing w:val="-4"/>
          <w:sz w:val="36"/>
          <w:szCs w:val="32"/>
        </w:rPr>
      </w:pPr>
      <w:r>
        <w:rPr>
          <w:rFonts w:ascii="Times New Roman" w:eastAsia="宋体" w:hAnsi="Times New Roman" w:hint="eastAsia"/>
          <w:b/>
          <w:bCs/>
          <w:spacing w:val="-4"/>
          <w:sz w:val="36"/>
          <w:szCs w:val="32"/>
        </w:rPr>
        <w:t>华孚时尚股份有限公司</w:t>
      </w:r>
    </w:p>
    <w:p w:rsidR="00206317" w:rsidRDefault="007B457F">
      <w:pPr>
        <w:pStyle w:val="Default"/>
        <w:spacing w:line="360" w:lineRule="auto"/>
        <w:jc w:val="center"/>
        <w:rPr>
          <w:rFonts w:ascii="Times New Roman" w:cstheme="minorBidi"/>
          <w:b/>
          <w:bCs/>
          <w:color w:val="auto"/>
          <w:spacing w:val="-4"/>
          <w:kern w:val="2"/>
          <w:sz w:val="36"/>
          <w:szCs w:val="32"/>
        </w:rPr>
      </w:pPr>
      <w:r>
        <w:rPr>
          <w:rFonts w:ascii="Times New Roman" w:cstheme="minorBidi" w:hint="eastAsia"/>
          <w:b/>
          <w:bCs/>
          <w:color w:val="auto"/>
          <w:spacing w:val="-4"/>
          <w:kern w:val="2"/>
          <w:sz w:val="36"/>
          <w:szCs w:val="32"/>
        </w:rPr>
        <w:t>关于签署三方战略合作协议的公告</w:t>
      </w:r>
    </w:p>
    <w:p w:rsidR="006B3357" w:rsidRDefault="00206317">
      <w:pPr>
        <w:pStyle w:val="Default"/>
        <w:spacing w:line="360" w:lineRule="auto"/>
        <w:jc w:val="center"/>
        <w:rPr>
          <w:rFonts w:ascii="Times New Roman" w:cstheme="minorBidi"/>
          <w:b/>
          <w:bCs/>
          <w:color w:val="auto"/>
          <w:spacing w:val="-4"/>
          <w:kern w:val="2"/>
          <w:sz w:val="36"/>
          <w:szCs w:val="32"/>
        </w:rPr>
      </w:pPr>
      <w:r>
        <w:rPr>
          <w:rFonts w:ascii="Times New Roman" w:cstheme="minorBidi" w:hint="eastAsia"/>
          <w:b/>
          <w:bCs/>
          <w:color w:val="auto"/>
          <w:spacing w:val="-4"/>
          <w:kern w:val="2"/>
          <w:sz w:val="36"/>
          <w:szCs w:val="32"/>
        </w:rPr>
        <w:t>之</w:t>
      </w:r>
      <w:r w:rsidR="006F5E23">
        <w:rPr>
          <w:rFonts w:ascii="Times New Roman" w:cstheme="minorBidi" w:hint="eastAsia"/>
          <w:b/>
          <w:bCs/>
          <w:color w:val="auto"/>
          <w:spacing w:val="-4"/>
          <w:kern w:val="2"/>
          <w:sz w:val="36"/>
          <w:szCs w:val="32"/>
        </w:rPr>
        <w:t>补充公告</w:t>
      </w:r>
    </w:p>
    <w:p w:rsidR="006B3357" w:rsidRDefault="008320FD" w:rsidP="008320FD">
      <w:pPr>
        <w:pStyle w:val="Default"/>
        <w:wordWrap w:val="0"/>
        <w:spacing w:beforeLines="50" w:before="156" w:afterLines="100" w:after="312" w:line="500" w:lineRule="exact"/>
        <w:ind w:firstLineChars="177" w:firstLine="425"/>
        <w:rPr>
          <w:rFonts w:ascii="楷体" w:eastAsia="楷体" w:hAnsi="楷体" w:cs="黑体"/>
        </w:rPr>
      </w:pPr>
      <w:r>
        <w:rPr>
          <w:rFonts w:ascii="楷体" w:eastAsia="楷体" w:hAnsi="楷体" w:cs="黑体" w:hint="eastAsia"/>
        </w:rPr>
        <w:t>本公司及董事会全体成员保证公告内容的真实、准确和完整，没有虚假记载、误导性陈述或重大遗漏。</w:t>
      </w:r>
    </w:p>
    <w:p w:rsidR="006B3357" w:rsidRPr="002A1A9B" w:rsidRDefault="008320FD">
      <w:pPr>
        <w:pStyle w:val="a4"/>
        <w:spacing w:line="360" w:lineRule="auto"/>
        <w:ind w:firstLineChars="176" w:firstLine="424"/>
        <w:rPr>
          <w:rFonts w:asciiTheme="minorEastAsia" w:eastAsiaTheme="minorEastAsia" w:hAnsiTheme="minorEastAsia"/>
          <w:b/>
          <w:sz w:val="24"/>
        </w:rPr>
      </w:pPr>
      <w:r w:rsidRPr="002A1A9B">
        <w:rPr>
          <w:rFonts w:asciiTheme="minorEastAsia" w:eastAsiaTheme="minorEastAsia" w:hAnsiTheme="minorEastAsia" w:hint="eastAsia"/>
          <w:b/>
          <w:sz w:val="24"/>
        </w:rPr>
        <w:t>重要提示</w:t>
      </w:r>
    </w:p>
    <w:p w:rsidR="006B3357" w:rsidRPr="002A1A9B" w:rsidRDefault="008320FD" w:rsidP="008B0737">
      <w:pPr>
        <w:tabs>
          <w:tab w:val="left" w:pos="8222"/>
          <w:tab w:val="left" w:pos="8306"/>
        </w:tabs>
        <w:spacing w:line="360" w:lineRule="auto"/>
        <w:ind w:left="1" w:rightChars="-27" w:right="-57"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华孚时尚股份有限公司（以下简称“公司”或“华孚时尚”）于2024年1月</w:t>
      </w:r>
      <w:r w:rsidR="006F5E23" w:rsidRPr="002A1A9B">
        <w:rPr>
          <w:rFonts w:asciiTheme="minorEastAsia" w:hAnsiTheme="minorEastAsia" w:hint="eastAsia"/>
          <w:sz w:val="24"/>
          <w:szCs w:val="24"/>
        </w:rPr>
        <w:t>20</w:t>
      </w:r>
      <w:r w:rsidRPr="002A1A9B">
        <w:rPr>
          <w:rFonts w:asciiTheme="minorEastAsia" w:hAnsiTheme="minorEastAsia" w:hint="eastAsia"/>
          <w:sz w:val="24"/>
          <w:szCs w:val="24"/>
        </w:rPr>
        <w:t>日</w:t>
      </w:r>
      <w:r w:rsidR="008F203B" w:rsidRPr="002A1A9B">
        <w:rPr>
          <w:rFonts w:asciiTheme="minorEastAsia" w:hAnsiTheme="minorEastAsia" w:hint="eastAsia"/>
          <w:sz w:val="24"/>
          <w:szCs w:val="24"/>
        </w:rPr>
        <w:t>在</w:t>
      </w:r>
      <w:r w:rsidR="008F203B" w:rsidRPr="002A1A9B">
        <w:rPr>
          <w:rFonts w:asciiTheme="minorEastAsia" w:hAnsiTheme="minorEastAsia" w:hint="eastAsia"/>
          <w:kern w:val="0"/>
          <w:sz w:val="24"/>
          <w:szCs w:val="24"/>
        </w:rPr>
        <w:t>《证券时报》、《中国证券报》及巨潮资讯网(</w:t>
      </w:r>
      <w:hyperlink r:id="rId9" w:history="1">
        <w:r w:rsidR="008F203B" w:rsidRPr="002A1A9B">
          <w:rPr>
            <w:rFonts w:asciiTheme="minorEastAsia" w:hAnsiTheme="minorEastAsia" w:hint="eastAsia"/>
            <w:kern w:val="0"/>
            <w:sz w:val="24"/>
            <w:szCs w:val="24"/>
          </w:rPr>
          <w:t>http://www.cninfo.com.cn</w:t>
        </w:r>
      </w:hyperlink>
      <w:r w:rsidR="008F203B" w:rsidRPr="002A1A9B">
        <w:rPr>
          <w:rFonts w:asciiTheme="minorEastAsia" w:hAnsiTheme="minorEastAsia" w:hint="eastAsia"/>
          <w:kern w:val="0"/>
          <w:sz w:val="24"/>
          <w:szCs w:val="24"/>
        </w:rPr>
        <w:t>)披露了《关于签署三方战略合作协议的公告》（2024-04）。</w:t>
      </w:r>
      <w:r w:rsidR="007B457F" w:rsidRPr="002A1A9B">
        <w:rPr>
          <w:rFonts w:asciiTheme="minorEastAsia" w:hAnsiTheme="minorEastAsia" w:hint="eastAsia"/>
          <w:kern w:val="0"/>
          <w:sz w:val="24"/>
          <w:szCs w:val="24"/>
        </w:rPr>
        <w:t>三</w:t>
      </w:r>
      <w:proofErr w:type="gramStart"/>
      <w:r w:rsidR="007B457F" w:rsidRPr="002A1A9B">
        <w:rPr>
          <w:rFonts w:asciiTheme="minorEastAsia" w:hAnsiTheme="minorEastAsia" w:hint="eastAsia"/>
          <w:kern w:val="0"/>
          <w:sz w:val="24"/>
          <w:szCs w:val="24"/>
        </w:rPr>
        <w:t>方战略</w:t>
      </w:r>
      <w:proofErr w:type="gramEnd"/>
      <w:r w:rsidR="007B457F" w:rsidRPr="002A1A9B">
        <w:rPr>
          <w:rFonts w:asciiTheme="minorEastAsia" w:hAnsiTheme="minorEastAsia" w:hint="eastAsia"/>
          <w:kern w:val="0"/>
          <w:sz w:val="24"/>
          <w:szCs w:val="24"/>
        </w:rPr>
        <w:t>合作协议的签署方为公司</w:t>
      </w:r>
      <w:r w:rsidR="007B457F" w:rsidRPr="002A1A9B">
        <w:rPr>
          <w:rFonts w:asciiTheme="minorEastAsia" w:hAnsiTheme="minorEastAsia" w:hint="eastAsia"/>
          <w:sz w:val="24"/>
          <w:szCs w:val="24"/>
        </w:rPr>
        <w:t>、新疆维吾尔自治区人民政府（以下简称“新疆政府”）、某公司。</w:t>
      </w:r>
      <w:r w:rsidR="00BC6BF7" w:rsidRPr="002A1A9B">
        <w:rPr>
          <w:rFonts w:asciiTheme="minorEastAsia" w:hAnsiTheme="minorEastAsia" w:hint="eastAsia"/>
          <w:sz w:val="24"/>
          <w:szCs w:val="24"/>
        </w:rPr>
        <w:t>详见上述公告。</w:t>
      </w:r>
    </w:p>
    <w:p w:rsidR="002A1A9B" w:rsidRPr="002A1A9B" w:rsidRDefault="00F624BF" w:rsidP="008B0737">
      <w:pPr>
        <w:pStyle w:val="a4"/>
        <w:spacing w:line="360" w:lineRule="auto"/>
        <w:ind w:firstLineChars="0" w:firstLine="426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上述公告披露后，互动易</w:t>
      </w:r>
      <w:bookmarkStart w:id="0" w:name="_GoBack"/>
      <w:bookmarkEnd w:id="0"/>
      <w:r w:rsidR="002A1A9B" w:rsidRPr="002A1A9B">
        <w:rPr>
          <w:rFonts w:asciiTheme="minorEastAsia" w:eastAsiaTheme="minorEastAsia" w:hAnsiTheme="minorEastAsia" w:cstheme="minorBidi" w:hint="eastAsia"/>
          <w:sz w:val="24"/>
        </w:rPr>
        <w:t>出现对协议签署方“某公司”的诸多传闻和猜测。本着对公司投资者负责的态度，公司经与协议各方协商一致，对该事项进行补充披露并提示相关风险，具体如下：</w:t>
      </w:r>
    </w:p>
    <w:p w:rsidR="008F203B" w:rsidRPr="002A1A9B" w:rsidRDefault="008F203B" w:rsidP="008B0737">
      <w:pPr>
        <w:pStyle w:val="a4"/>
        <w:spacing w:line="360" w:lineRule="auto"/>
        <w:ind w:firstLineChars="0" w:firstLine="426"/>
        <w:rPr>
          <w:rFonts w:asciiTheme="minorEastAsia" w:eastAsiaTheme="minorEastAsia" w:hAnsiTheme="minorEastAsia"/>
          <w:b/>
          <w:sz w:val="24"/>
        </w:rPr>
      </w:pPr>
      <w:r w:rsidRPr="002A1A9B">
        <w:rPr>
          <w:rFonts w:asciiTheme="minorEastAsia" w:eastAsiaTheme="minorEastAsia" w:hAnsiTheme="minorEastAsia" w:hint="eastAsia"/>
          <w:b/>
          <w:sz w:val="24"/>
        </w:rPr>
        <w:t>一、交易对手方情况</w:t>
      </w:r>
    </w:p>
    <w:p w:rsidR="006B3357" w:rsidRPr="002A1A9B" w:rsidRDefault="008320FD" w:rsidP="008B0737">
      <w:pPr>
        <w:widowControl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cs="宋体" w:hint="eastAsia"/>
          <w:sz w:val="24"/>
          <w:szCs w:val="24"/>
        </w:rPr>
        <w:t>1</w:t>
      </w:r>
      <w:r w:rsidR="00BC6BF7" w:rsidRPr="002A1A9B">
        <w:rPr>
          <w:rFonts w:asciiTheme="minorEastAsia" w:hAnsiTheme="minorEastAsia" w:cs="宋体" w:hint="eastAsia"/>
          <w:sz w:val="24"/>
          <w:szCs w:val="24"/>
        </w:rPr>
        <w:t>、本次协议</w:t>
      </w:r>
      <w:r w:rsidR="008F203B" w:rsidRPr="002A1A9B">
        <w:rPr>
          <w:rFonts w:asciiTheme="minorEastAsia" w:hAnsiTheme="minorEastAsia" w:cs="宋体" w:hint="eastAsia"/>
          <w:sz w:val="24"/>
          <w:szCs w:val="24"/>
        </w:rPr>
        <w:t>签署方除公司和新疆</w:t>
      </w:r>
      <w:r w:rsidRPr="002A1A9B">
        <w:rPr>
          <w:rFonts w:asciiTheme="minorEastAsia" w:hAnsiTheme="minorEastAsia" w:cs="宋体" w:hint="eastAsia"/>
          <w:sz w:val="24"/>
          <w:szCs w:val="24"/>
        </w:rPr>
        <w:t>政府</w:t>
      </w:r>
      <w:r w:rsidR="0009754A" w:rsidRPr="002A1A9B">
        <w:rPr>
          <w:rFonts w:asciiTheme="minorEastAsia" w:hAnsiTheme="minorEastAsia" w:cs="宋体" w:hint="eastAsia"/>
          <w:sz w:val="24"/>
          <w:szCs w:val="24"/>
        </w:rPr>
        <w:t>外，另一方为华为技术有限公司</w:t>
      </w:r>
      <w:r w:rsidR="008F203B" w:rsidRPr="002A1A9B">
        <w:rPr>
          <w:rFonts w:asciiTheme="minorEastAsia" w:hAnsiTheme="minorEastAsia" w:cs="宋体" w:hint="eastAsia"/>
          <w:sz w:val="24"/>
          <w:szCs w:val="24"/>
        </w:rPr>
        <w:t>（以下简称“华为”）</w:t>
      </w:r>
      <w:r w:rsidR="00BC6BF7" w:rsidRPr="002A1A9B">
        <w:rPr>
          <w:rFonts w:asciiTheme="minorEastAsia" w:hAnsiTheme="minorEastAsia" w:cs="宋体" w:hint="eastAsia"/>
          <w:sz w:val="24"/>
          <w:szCs w:val="24"/>
        </w:rPr>
        <w:t>，华为简介如下：</w:t>
      </w:r>
    </w:p>
    <w:p w:rsidR="00BC6BF7" w:rsidRPr="002A1A9B" w:rsidRDefault="00BC6BF7" w:rsidP="008B0737">
      <w:pPr>
        <w:tabs>
          <w:tab w:val="left" w:pos="8222"/>
          <w:tab w:val="left" w:pos="8306"/>
        </w:tabs>
        <w:spacing w:line="360" w:lineRule="auto"/>
        <w:ind w:left="1" w:rightChars="-27" w:right="-57"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企业名称：华为技术有限公司</w:t>
      </w:r>
    </w:p>
    <w:p w:rsidR="00BC6BF7" w:rsidRPr="002A1A9B" w:rsidRDefault="00BC6BF7" w:rsidP="008B0737">
      <w:pPr>
        <w:tabs>
          <w:tab w:val="left" w:pos="8222"/>
          <w:tab w:val="left" w:pos="8306"/>
        </w:tabs>
        <w:spacing w:line="360" w:lineRule="auto"/>
        <w:ind w:left="1" w:rightChars="-27" w:right="-57"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统一社会信用代码：914403001922038216</w:t>
      </w:r>
    </w:p>
    <w:p w:rsidR="00BC6BF7" w:rsidRPr="002A1A9B" w:rsidRDefault="00BC6BF7" w:rsidP="008B0737">
      <w:pPr>
        <w:tabs>
          <w:tab w:val="left" w:pos="8222"/>
          <w:tab w:val="left" w:pos="8306"/>
        </w:tabs>
        <w:spacing w:line="360" w:lineRule="auto"/>
        <w:ind w:left="1" w:rightChars="-27" w:right="-57"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成立日期：1987-09-15</w:t>
      </w:r>
    </w:p>
    <w:p w:rsidR="00BC6BF7" w:rsidRPr="002A1A9B" w:rsidRDefault="00BC6BF7" w:rsidP="008B0737">
      <w:pPr>
        <w:tabs>
          <w:tab w:val="left" w:pos="8222"/>
          <w:tab w:val="left" w:pos="8306"/>
        </w:tabs>
        <w:spacing w:line="360" w:lineRule="auto"/>
        <w:ind w:left="1" w:rightChars="-27" w:right="-57"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注册地址：</w:t>
      </w:r>
      <w:r w:rsidR="007B457F" w:rsidRPr="002A1A9B">
        <w:rPr>
          <w:rFonts w:asciiTheme="minorEastAsia" w:hAnsiTheme="minorEastAsia" w:hint="eastAsia"/>
          <w:sz w:val="24"/>
          <w:szCs w:val="24"/>
        </w:rPr>
        <w:t>深圳市龙岗区</w:t>
      </w:r>
      <w:proofErr w:type="gramStart"/>
      <w:r w:rsidR="007B457F" w:rsidRPr="002A1A9B">
        <w:rPr>
          <w:rFonts w:asciiTheme="minorEastAsia" w:hAnsiTheme="minorEastAsia" w:hint="eastAsia"/>
          <w:sz w:val="24"/>
          <w:szCs w:val="24"/>
        </w:rPr>
        <w:t>坂</w:t>
      </w:r>
      <w:proofErr w:type="gramEnd"/>
      <w:r w:rsidR="007B457F" w:rsidRPr="002A1A9B">
        <w:rPr>
          <w:rFonts w:asciiTheme="minorEastAsia" w:hAnsiTheme="minorEastAsia" w:hint="eastAsia"/>
          <w:sz w:val="24"/>
          <w:szCs w:val="24"/>
        </w:rPr>
        <w:t>田华为总部办公楼</w:t>
      </w:r>
    </w:p>
    <w:p w:rsidR="00BC6BF7" w:rsidRPr="002A1A9B" w:rsidRDefault="00BC6BF7" w:rsidP="008B0737">
      <w:pPr>
        <w:tabs>
          <w:tab w:val="left" w:pos="8222"/>
          <w:tab w:val="left" w:pos="8306"/>
        </w:tabs>
        <w:spacing w:line="360" w:lineRule="auto"/>
        <w:ind w:left="1" w:rightChars="-27" w:right="-57"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法定代表人：赵明路</w:t>
      </w:r>
    </w:p>
    <w:p w:rsidR="00BC6BF7" w:rsidRPr="002A1A9B" w:rsidRDefault="00BC6BF7" w:rsidP="008B0737">
      <w:pPr>
        <w:tabs>
          <w:tab w:val="left" w:pos="8222"/>
          <w:tab w:val="left" w:pos="8306"/>
        </w:tabs>
        <w:spacing w:line="360" w:lineRule="auto"/>
        <w:ind w:left="1" w:rightChars="-27" w:right="-57"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注册资本：4,064,113.182万人民币</w:t>
      </w:r>
    </w:p>
    <w:p w:rsidR="00BC6BF7" w:rsidRPr="002A1A9B" w:rsidRDefault="00BC6BF7" w:rsidP="008B0737">
      <w:pPr>
        <w:tabs>
          <w:tab w:val="left" w:pos="8222"/>
          <w:tab w:val="left" w:pos="8306"/>
        </w:tabs>
        <w:spacing w:line="360" w:lineRule="auto"/>
        <w:ind w:left="1" w:rightChars="-27" w:right="-57"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经营范围：一般经营项目是：</w:t>
      </w:r>
      <w:r w:rsidR="007B457F" w:rsidRPr="002A1A9B">
        <w:rPr>
          <w:rFonts w:asciiTheme="minorEastAsia" w:hAnsiTheme="minorEastAsia" w:hint="eastAsia"/>
          <w:sz w:val="24"/>
          <w:szCs w:val="24"/>
        </w:rPr>
        <w:t>程控交换机、传输设备、数据通信设备、宽带多媒体设备、电源、无线通信设备、微电子产品、软件、系统集成工程、计算机及配套设备、终端设备及相关通信信息产品、数据中心机房基础设施及配套产品</w:t>
      </w:r>
      <w:r w:rsidR="007B457F" w:rsidRPr="002A1A9B">
        <w:rPr>
          <w:rFonts w:asciiTheme="minorEastAsia" w:hAnsiTheme="minorEastAsia" w:hint="eastAsia"/>
          <w:sz w:val="24"/>
          <w:szCs w:val="24"/>
        </w:rPr>
        <w:lastRenderedPageBreak/>
        <w:t>（</w:t>
      </w:r>
      <w:proofErr w:type="gramStart"/>
      <w:r w:rsidR="007B457F" w:rsidRPr="002A1A9B">
        <w:rPr>
          <w:rFonts w:asciiTheme="minorEastAsia" w:hAnsiTheme="minorEastAsia" w:hint="eastAsia"/>
          <w:sz w:val="24"/>
          <w:szCs w:val="24"/>
        </w:rPr>
        <w:t>含供配电</w:t>
      </w:r>
      <w:proofErr w:type="gramEnd"/>
      <w:r w:rsidR="007B457F" w:rsidRPr="002A1A9B">
        <w:rPr>
          <w:rFonts w:asciiTheme="minorEastAsia" w:hAnsiTheme="minorEastAsia" w:hint="eastAsia"/>
          <w:sz w:val="24"/>
          <w:szCs w:val="24"/>
        </w:rPr>
        <w:t>、空调制冷设备、智能管理监控等）的开发、生产、销售、技术服务、工程安装、维修、咨询、代理、租赁；</w:t>
      </w:r>
      <w:r w:rsidRPr="002A1A9B">
        <w:rPr>
          <w:rFonts w:asciiTheme="minorEastAsia" w:hAnsiTheme="minorEastAsia" w:hint="eastAsia"/>
          <w:sz w:val="24"/>
          <w:szCs w:val="24"/>
        </w:rPr>
        <w:t>信息系统设计、集成、运行维护；集成电路设计、研发；统一通信及协作类产品，服务器及配套软硬件产品，存储设备及相关软件的研发、生产、销售；无线数据产品（不含限制项目）的研发、生产、销售；通信站点机房基础设施及通信配套设备（含通信站点、通信机房、通信电源、机柜、天线、通信线缆、配电、智能管理监控、锂电及储能系统等）的研发、生产、销售；能源科学技术研究及能源相关产品的研发、生产、销售；大数据产品、物联网及通信相关领域产品的研发、生产、销售；汽车零部件及智能系统的研发、生产、销售及服务；建筑工程；设计、制作、发布、代理各类广告；通信设备租赁（不含限制项目）；培训服务；技术认证服务；信息咨询（不含限制项目）；企业管理咨询（不含限制项目）；进出口业务；国内商业、物资供销业业务（不含专营、专控、专卖商品）；对外经济技术合作业务；房屋租赁业务（持许可经营证）；以及其他法律法规不禁止的经营活动（依法须经批准的项目，经相关部门批准后方可开展经营活动）。许可经营项目是：增值电信业务经营。</w:t>
      </w:r>
    </w:p>
    <w:p w:rsidR="00BC6BF7" w:rsidRPr="002A1A9B" w:rsidRDefault="00BC6BF7" w:rsidP="008B0737">
      <w:pPr>
        <w:tabs>
          <w:tab w:val="left" w:pos="8222"/>
          <w:tab w:val="left" w:pos="8306"/>
        </w:tabs>
        <w:spacing w:line="360" w:lineRule="auto"/>
        <w:ind w:left="1" w:rightChars="-27" w:right="-57"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股权关系：华为投资控股有限公司持有其100%股份</w:t>
      </w:r>
      <w:r w:rsidR="00C352AC">
        <w:rPr>
          <w:rFonts w:asciiTheme="minorEastAsia" w:hAnsiTheme="minorEastAsia" w:hint="eastAsia"/>
          <w:sz w:val="24"/>
          <w:szCs w:val="24"/>
        </w:rPr>
        <w:t>。</w:t>
      </w:r>
    </w:p>
    <w:p w:rsidR="00BC6BF7" w:rsidRPr="002A1A9B" w:rsidRDefault="00BC6BF7" w:rsidP="008B0737">
      <w:pPr>
        <w:tabs>
          <w:tab w:val="left" w:pos="8222"/>
          <w:tab w:val="left" w:pos="8306"/>
        </w:tabs>
        <w:spacing w:line="360" w:lineRule="auto"/>
        <w:ind w:left="1" w:rightChars="-27" w:right="-57"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2、公司与华为不存在关联关系，本次交易不属于关联交易，华为不属于失信被执行人，经营情况良好，不存在合同履约障碍。</w:t>
      </w:r>
    </w:p>
    <w:p w:rsidR="00BC6BF7" w:rsidRPr="002A1A9B" w:rsidRDefault="00BC6BF7" w:rsidP="008B0737">
      <w:pPr>
        <w:spacing w:line="360" w:lineRule="auto"/>
        <w:ind w:firstLineChars="176" w:firstLine="424"/>
        <w:rPr>
          <w:rFonts w:asciiTheme="minorEastAsia" w:hAnsiTheme="minorEastAsia"/>
          <w:b/>
          <w:sz w:val="24"/>
          <w:szCs w:val="24"/>
        </w:rPr>
      </w:pPr>
      <w:r w:rsidRPr="002A1A9B">
        <w:rPr>
          <w:rFonts w:asciiTheme="minorEastAsia" w:hAnsiTheme="minorEastAsia" w:hint="eastAsia"/>
          <w:b/>
          <w:sz w:val="24"/>
          <w:szCs w:val="24"/>
        </w:rPr>
        <w:t>二、合作运行模式</w:t>
      </w:r>
      <w:r w:rsidR="00902D07" w:rsidRPr="002A1A9B">
        <w:rPr>
          <w:rFonts w:asciiTheme="minorEastAsia" w:hAnsiTheme="minorEastAsia" w:hint="eastAsia"/>
          <w:b/>
          <w:sz w:val="24"/>
          <w:szCs w:val="24"/>
        </w:rPr>
        <w:t>及项目</w:t>
      </w:r>
      <w:r w:rsidR="0077785B">
        <w:rPr>
          <w:rFonts w:asciiTheme="minorEastAsia" w:hAnsiTheme="minorEastAsia" w:hint="eastAsia"/>
          <w:b/>
          <w:sz w:val="24"/>
          <w:szCs w:val="24"/>
        </w:rPr>
        <w:t>主要</w:t>
      </w:r>
      <w:r w:rsidR="00902D07" w:rsidRPr="002A1A9B">
        <w:rPr>
          <w:rFonts w:asciiTheme="minorEastAsia" w:hAnsiTheme="minorEastAsia" w:hint="eastAsia"/>
          <w:b/>
          <w:sz w:val="24"/>
          <w:szCs w:val="24"/>
        </w:rPr>
        <w:t>内容</w:t>
      </w:r>
    </w:p>
    <w:p w:rsidR="00EE3B76" w:rsidRPr="002A1A9B" w:rsidRDefault="007B457F" w:rsidP="008B07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本次战略合作主要是全</w:t>
      </w:r>
      <w:proofErr w:type="gramStart"/>
      <w:r w:rsidRPr="002A1A9B">
        <w:rPr>
          <w:rFonts w:asciiTheme="minorEastAsia" w:hAnsiTheme="minorEastAsia" w:hint="eastAsia"/>
          <w:sz w:val="24"/>
          <w:szCs w:val="24"/>
        </w:rPr>
        <w:t>栈</w:t>
      </w:r>
      <w:proofErr w:type="gramEnd"/>
      <w:r w:rsidRPr="002A1A9B">
        <w:rPr>
          <w:rFonts w:asciiTheme="minorEastAsia" w:hAnsiTheme="minorEastAsia" w:hint="eastAsia"/>
          <w:sz w:val="24"/>
          <w:szCs w:val="24"/>
        </w:rPr>
        <w:t>国产化的“万卡集群”阿克苏城市</w:t>
      </w:r>
      <w:proofErr w:type="gramStart"/>
      <w:r w:rsidRPr="002A1A9B">
        <w:rPr>
          <w:rFonts w:asciiTheme="minorEastAsia" w:hAnsiTheme="minorEastAsia" w:hint="eastAsia"/>
          <w:sz w:val="24"/>
          <w:szCs w:val="24"/>
        </w:rPr>
        <w:t>公共算力平台</w:t>
      </w:r>
      <w:proofErr w:type="gramEnd"/>
      <w:r w:rsidRPr="002A1A9B">
        <w:rPr>
          <w:rFonts w:asciiTheme="minorEastAsia" w:hAnsiTheme="minorEastAsia" w:hint="eastAsia"/>
          <w:sz w:val="24"/>
          <w:szCs w:val="24"/>
        </w:rPr>
        <w:t>项目投资建设，项目建设</w:t>
      </w:r>
      <w:proofErr w:type="gramStart"/>
      <w:r w:rsidRPr="002A1A9B">
        <w:rPr>
          <w:rFonts w:asciiTheme="minorEastAsia" w:hAnsiTheme="minorEastAsia" w:hint="eastAsia"/>
          <w:sz w:val="24"/>
          <w:szCs w:val="24"/>
        </w:rPr>
        <w:t>的算力服务</w:t>
      </w:r>
      <w:proofErr w:type="gramEnd"/>
      <w:r w:rsidRPr="002A1A9B">
        <w:rPr>
          <w:rFonts w:asciiTheme="minorEastAsia" w:hAnsiTheme="minorEastAsia" w:hint="eastAsia"/>
          <w:sz w:val="24"/>
          <w:szCs w:val="24"/>
        </w:rPr>
        <w:t>平台</w:t>
      </w:r>
      <w:proofErr w:type="gramStart"/>
      <w:r w:rsidRPr="002A1A9B">
        <w:rPr>
          <w:rFonts w:asciiTheme="minorEastAsia" w:hAnsiTheme="minorEastAsia" w:hint="eastAsia"/>
          <w:sz w:val="24"/>
          <w:szCs w:val="24"/>
        </w:rPr>
        <w:t>包括算力硬件</w:t>
      </w:r>
      <w:proofErr w:type="gramEnd"/>
      <w:r w:rsidRPr="002A1A9B">
        <w:rPr>
          <w:rFonts w:asciiTheme="minorEastAsia" w:hAnsiTheme="minorEastAsia" w:hint="eastAsia"/>
          <w:sz w:val="24"/>
          <w:szCs w:val="24"/>
        </w:rPr>
        <w:t>平台、</w:t>
      </w:r>
      <w:proofErr w:type="gramStart"/>
      <w:r w:rsidRPr="002A1A9B">
        <w:rPr>
          <w:rFonts w:asciiTheme="minorEastAsia" w:hAnsiTheme="minorEastAsia" w:hint="eastAsia"/>
          <w:sz w:val="24"/>
          <w:szCs w:val="24"/>
        </w:rPr>
        <w:t>算力平台</w:t>
      </w:r>
      <w:proofErr w:type="gramEnd"/>
      <w:r w:rsidRPr="002A1A9B">
        <w:rPr>
          <w:rFonts w:asciiTheme="minorEastAsia" w:hAnsiTheme="minorEastAsia" w:hint="eastAsia"/>
          <w:sz w:val="24"/>
          <w:szCs w:val="24"/>
        </w:rPr>
        <w:t>软件、算法模型平台和数据中心机房</w:t>
      </w:r>
      <w:r w:rsidR="00902D07" w:rsidRPr="002A1A9B">
        <w:rPr>
          <w:rFonts w:asciiTheme="minorEastAsia" w:hAnsiTheme="minorEastAsia" w:hint="eastAsia"/>
          <w:sz w:val="24"/>
          <w:szCs w:val="24"/>
        </w:rPr>
        <w:t>等</w:t>
      </w:r>
      <w:r w:rsidRPr="002A1A9B">
        <w:rPr>
          <w:rFonts w:asciiTheme="minorEastAsia" w:hAnsiTheme="minorEastAsia" w:hint="eastAsia"/>
          <w:sz w:val="24"/>
          <w:szCs w:val="24"/>
        </w:rPr>
        <w:t>。</w:t>
      </w:r>
    </w:p>
    <w:p w:rsidR="00C55AF8" w:rsidRPr="002A1A9B" w:rsidRDefault="00DB6084" w:rsidP="00DB60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6084">
        <w:rPr>
          <w:rFonts w:asciiTheme="minorEastAsia" w:hAnsiTheme="minorEastAsia" w:cs="宋体" w:hint="eastAsia"/>
          <w:sz w:val="24"/>
          <w:szCs w:val="24"/>
        </w:rPr>
        <w:t>华为负责阿克苏城市</w:t>
      </w:r>
      <w:proofErr w:type="gramStart"/>
      <w:r w:rsidRPr="00DB6084">
        <w:rPr>
          <w:rFonts w:asciiTheme="minorEastAsia" w:hAnsiTheme="minorEastAsia" w:cs="宋体" w:hint="eastAsia"/>
          <w:sz w:val="24"/>
          <w:szCs w:val="24"/>
        </w:rPr>
        <w:t>公共算力平台</w:t>
      </w:r>
      <w:proofErr w:type="gramEnd"/>
      <w:r w:rsidRPr="00DB6084">
        <w:rPr>
          <w:rFonts w:asciiTheme="minorEastAsia" w:hAnsiTheme="minorEastAsia" w:cs="宋体" w:hint="eastAsia"/>
          <w:sz w:val="24"/>
          <w:szCs w:val="24"/>
        </w:rPr>
        <w:t>的软硬件设备供应，提供先进AI</w:t>
      </w:r>
      <w:proofErr w:type="gramStart"/>
      <w:r w:rsidRPr="00DB6084">
        <w:rPr>
          <w:rFonts w:asciiTheme="minorEastAsia" w:hAnsiTheme="minorEastAsia" w:cs="宋体" w:hint="eastAsia"/>
          <w:sz w:val="24"/>
          <w:szCs w:val="24"/>
        </w:rPr>
        <w:t>算力底座</w:t>
      </w:r>
      <w:proofErr w:type="gramEnd"/>
      <w:r w:rsidRPr="00DB6084">
        <w:rPr>
          <w:rFonts w:asciiTheme="minorEastAsia" w:hAnsiTheme="minorEastAsia" w:cs="宋体" w:hint="eastAsia"/>
          <w:sz w:val="24"/>
          <w:szCs w:val="24"/>
        </w:rPr>
        <w:t>技术架构和产品与解决方案，提供公共</w:t>
      </w:r>
      <w:proofErr w:type="gramStart"/>
      <w:r w:rsidRPr="00DB6084">
        <w:rPr>
          <w:rFonts w:asciiTheme="minorEastAsia" w:hAnsiTheme="minorEastAsia" w:cs="宋体" w:hint="eastAsia"/>
          <w:sz w:val="24"/>
          <w:szCs w:val="24"/>
        </w:rPr>
        <w:t>智能算力平台</w:t>
      </w:r>
      <w:proofErr w:type="gramEnd"/>
      <w:r w:rsidRPr="00DB6084">
        <w:rPr>
          <w:rFonts w:asciiTheme="minorEastAsia" w:hAnsiTheme="minorEastAsia" w:cs="宋体" w:hint="eastAsia"/>
          <w:sz w:val="24"/>
          <w:szCs w:val="24"/>
        </w:rPr>
        <w:t>运营及运维的技术支持服务，支持公共</w:t>
      </w:r>
      <w:proofErr w:type="gramStart"/>
      <w:r w:rsidRPr="00DB6084">
        <w:rPr>
          <w:rFonts w:asciiTheme="minorEastAsia" w:hAnsiTheme="minorEastAsia" w:cs="宋体" w:hint="eastAsia"/>
          <w:sz w:val="24"/>
          <w:szCs w:val="24"/>
        </w:rPr>
        <w:t>智能算力平台</w:t>
      </w:r>
      <w:proofErr w:type="gramEnd"/>
      <w:r w:rsidRPr="00DB6084">
        <w:rPr>
          <w:rFonts w:asciiTheme="minorEastAsia" w:hAnsiTheme="minorEastAsia" w:cs="宋体" w:hint="eastAsia"/>
          <w:sz w:val="24"/>
          <w:szCs w:val="24"/>
        </w:rPr>
        <w:t>的持续供应和产品迭代演进，为孵化纺织行业大模型提供技术支撑。</w:t>
      </w:r>
    </w:p>
    <w:p w:rsidR="00002623" w:rsidRPr="002A1A9B" w:rsidRDefault="007B457F" w:rsidP="008B07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本项目核心软硬件设备全部自主可控，包括华为昇</w:t>
      </w:r>
      <w:proofErr w:type="gramStart"/>
      <w:r w:rsidRPr="002A1A9B">
        <w:rPr>
          <w:rFonts w:asciiTheme="minorEastAsia" w:hAnsiTheme="minorEastAsia" w:hint="eastAsia"/>
          <w:sz w:val="24"/>
          <w:szCs w:val="24"/>
        </w:rPr>
        <w:t>腾系列</w:t>
      </w:r>
      <w:proofErr w:type="gramEnd"/>
      <w:r w:rsidRPr="002A1A9B">
        <w:rPr>
          <w:rFonts w:asciiTheme="minorEastAsia" w:hAnsiTheme="minorEastAsia" w:hint="eastAsia"/>
          <w:sz w:val="24"/>
          <w:szCs w:val="24"/>
        </w:rPr>
        <w:t>芯片、OpenRuler操作系统、OpenGauss数据库、CANN计算架构、MindSpore昇思AI框架，以及基于自</w:t>
      </w:r>
      <w:proofErr w:type="gramStart"/>
      <w:r w:rsidRPr="002A1A9B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2A1A9B">
        <w:rPr>
          <w:rFonts w:asciiTheme="minorEastAsia" w:hAnsiTheme="minorEastAsia" w:hint="eastAsia"/>
          <w:sz w:val="24"/>
          <w:szCs w:val="24"/>
        </w:rPr>
        <w:t>中间件、云平台、大数据分析等自主</w:t>
      </w:r>
      <w:proofErr w:type="gramStart"/>
      <w:r w:rsidRPr="002A1A9B">
        <w:rPr>
          <w:rFonts w:asciiTheme="minorEastAsia" w:hAnsiTheme="minorEastAsia" w:hint="eastAsia"/>
          <w:sz w:val="24"/>
          <w:szCs w:val="24"/>
        </w:rPr>
        <w:t>可控算力服务</w:t>
      </w:r>
      <w:proofErr w:type="gramEnd"/>
      <w:r w:rsidR="00902D07" w:rsidRPr="002A1A9B">
        <w:rPr>
          <w:rFonts w:asciiTheme="minorEastAsia" w:hAnsiTheme="minorEastAsia" w:hint="eastAsia"/>
          <w:sz w:val="24"/>
          <w:szCs w:val="24"/>
        </w:rPr>
        <w:t>设备</w:t>
      </w:r>
      <w:r w:rsidRPr="002A1A9B">
        <w:rPr>
          <w:rFonts w:asciiTheme="minorEastAsia" w:hAnsiTheme="minorEastAsia" w:hint="eastAsia"/>
          <w:sz w:val="24"/>
          <w:szCs w:val="24"/>
        </w:rPr>
        <w:t>。</w:t>
      </w:r>
    </w:p>
    <w:p w:rsidR="00BC6BF7" w:rsidRPr="002A1A9B" w:rsidRDefault="00BC6BF7" w:rsidP="008B0737">
      <w:pPr>
        <w:spacing w:line="360" w:lineRule="auto"/>
        <w:ind w:firstLineChars="176" w:firstLine="424"/>
        <w:rPr>
          <w:rFonts w:asciiTheme="minorEastAsia" w:hAnsiTheme="minorEastAsia"/>
          <w:b/>
          <w:sz w:val="24"/>
          <w:szCs w:val="24"/>
        </w:rPr>
      </w:pPr>
      <w:r w:rsidRPr="002A1A9B">
        <w:rPr>
          <w:rFonts w:asciiTheme="minorEastAsia" w:hAnsiTheme="minorEastAsia" w:hint="eastAsia"/>
          <w:b/>
          <w:sz w:val="24"/>
          <w:szCs w:val="24"/>
        </w:rPr>
        <w:t>三、</w:t>
      </w:r>
      <w:r w:rsidR="00385838" w:rsidRPr="002A1A9B">
        <w:rPr>
          <w:rFonts w:asciiTheme="minorEastAsia" w:hAnsiTheme="minorEastAsia" w:hint="eastAsia"/>
          <w:b/>
          <w:sz w:val="24"/>
          <w:szCs w:val="24"/>
        </w:rPr>
        <w:t>《三方战略合作协议》签署后的</w:t>
      </w:r>
      <w:r w:rsidRPr="002A1A9B">
        <w:rPr>
          <w:rFonts w:asciiTheme="minorEastAsia" w:hAnsiTheme="minorEastAsia" w:hint="eastAsia"/>
          <w:b/>
          <w:sz w:val="24"/>
          <w:szCs w:val="24"/>
        </w:rPr>
        <w:t>后续投资计划</w:t>
      </w:r>
    </w:p>
    <w:p w:rsidR="00E14690" w:rsidRPr="002A1A9B" w:rsidRDefault="00902D07" w:rsidP="008B07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公司计划于</w:t>
      </w:r>
      <w:r w:rsidR="005B4A9F" w:rsidRPr="002A1A9B">
        <w:rPr>
          <w:rFonts w:asciiTheme="minorEastAsia" w:hAnsiTheme="minorEastAsia" w:hint="eastAsia"/>
          <w:sz w:val="24"/>
          <w:szCs w:val="24"/>
        </w:rPr>
        <w:t>2024年开始建设第一期阿克苏城市</w:t>
      </w:r>
      <w:proofErr w:type="gramStart"/>
      <w:r w:rsidR="005B4A9F" w:rsidRPr="002A1A9B">
        <w:rPr>
          <w:rFonts w:asciiTheme="minorEastAsia" w:hAnsiTheme="minorEastAsia" w:hint="eastAsia"/>
          <w:sz w:val="24"/>
          <w:szCs w:val="24"/>
        </w:rPr>
        <w:t>公共算力平台</w:t>
      </w:r>
      <w:proofErr w:type="gramEnd"/>
      <w:r w:rsidR="005B4A9F" w:rsidRPr="002A1A9B">
        <w:rPr>
          <w:rFonts w:asciiTheme="minorEastAsia" w:hAnsiTheme="minorEastAsia" w:hint="eastAsia"/>
          <w:sz w:val="24"/>
          <w:szCs w:val="24"/>
        </w:rPr>
        <w:t>项目</w:t>
      </w:r>
      <w:r w:rsidR="00385838" w:rsidRPr="002A1A9B">
        <w:rPr>
          <w:rFonts w:asciiTheme="minorEastAsia" w:hAnsiTheme="minorEastAsia" w:hint="eastAsia"/>
          <w:sz w:val="24"/>
          <w:szCs w:val="24"/>
        </w:rPr>
        <w:t>。</w:t>
      </w:r>
      <w:r w:rsidR="005B4A9F" w:rsidRPr="002A1A9B">
        <w:rPr>
          <w:rFonts w:asciiTheme="minorEastAsia" w:hAnsiTheme="minorEastAsia" w:hint="eastAsia"/>
          <w:sz w:val="24"/>
          <w:szCs w:val="24"/>
        </w:rPr>
        <w:t>本项目投资</w:t>
      </w:r>
      <w:r w:rsidRPr="002A1A9B">
        <w:rPr>
          <w:rFonts w:asciiTheme="minorEastAsia" w:hAnsiTheme="minorEastAsia" w:hint="eastAsia"/>
          <w:sz w:val="24"/>
          <w:szCs w:val="24"/>
        </w:rPr>
        <w:t>资金</w:t>
      </w:r>
      <w:r w:rsidR="005B4A9F" w:rsidRPr="002A1A9B">
        <w:rPr>
          <w:rFonts w:asciiTheme="minorEastAsia" w:hAnsiTheme="minorEastAsia" w:hint="eastAsia"/>
          <w:sz w:val="24"/>
          <w:szCs w:val="24"/>
        </w:rPr>
        <w:t>主要用于固定资产投资，总投资规模约25</w:t>
      </w:r>
      <w:r w:rsidR="00385838" w:rsidRPr="002A1A9B">
        <w:rPr>
          <w:rFonts w:asciiTheme="minorEastAsia" w:hAnsiTheme="minorEastAsia" w:hint="eastAsia"/>
          <w:sz w:val="24"/>
          <w:szCs w:val="24"/>
        </w:rPr>
        <w:t>亿元</w:t>
      </w:r>
      <w:r w:rsidR="005B4A9F" w:rsidRPr="002A1A9B">
        <w:rPr>
          <w:rFonts w:asciiTheme="minorEastAsia" w:hAnsiTheme="minorEastAsia" w:hint="eastAsia"/>
          <w:sz w:val="24"/>
          <w:szCs w:val="24"/>
        </w:rPr>
        <w:t>-30亿元，包含机电设备、</w:t>
      </w:r>
      <w:proofErr w:type="gramStart"/>
      <w:r w:rsidR="005B4A9F" w:rsidRPr="002A1A9B">
        <w:rPr>
          <w:rFonts w:asciiTheme="minorEastAsia" w:hAnsiTheme="minorEastAsia" w:hint="eastAsia"/>
          <w:sz w:val="24"/>
          <w:szCs w:val="24"/>
        </w:rPr>
        <w:t>算力服务器</w:t>
      </w:r>
      <w:proofErr w:type="gramEnd"/>
      <w:r w:rsidR="005B4A9F" w:rsidRPr="002A1A9B">
        <w:rPr>
          <w:rFonts w:asciiTheme="minorEastAsia" w:hAnsiTheme="minorEastAsia" w:hint="eastAsia"/>
          <w:sz w:val="24"/>
          <w:szCs w:val="24"/>
        </w:rPr>
        <w:t>、网络加存储，最终形成10000张</w:t>
      </w:r>
      <w:proofErr w:type="gramStart"/>
      <w:r w:rsidR="005B4A9F" w:rsidRPr="002A1A9B">
        <w:rPr>
          <w:rFonts w:asciiTheme="minorEastAsia" w:hAnsiTheme="minorEastAsia" w:hint="eastAsia"/>
          <w:sz w:val="24"/>
          <w:szCs w:val="24"/>
        </w:rPr>
        <w:t>内嵌华为</w:t>
      </w:r>
      <w:proofErr w:type="gramEnd"/>
      <w:r w:rsidR="005B4A9F" w:rsidRPr="002A1A9B">
        <w:rPr>
          <w:rFonts w:asciiTheme="minorEastAsia" w:hAnsiTheme="minorEastAsia" w:hint="eastAsia"/>
          <w:sz w:val="24"/>
          <w:szCs w:val="24"/>
        </w:rPr>
        <w:t>昇</w:t>
      </w:r>
      <w:proofErr w:type="gramStart"/>
      <w:r w:rsidR="005B4A9F" w:rsidRPr="002A1A9B">
        <w:rPr>
          <w:rFonts w:asciiTheme="minorEastAsia" w:hAnsiTheme="minorEastAsia" w:hint="eastAsia"/>
          <w:sz w:val="24"/>
          <w:szCs w:val="24"/>
        </w:rPr>
        <w:t>腾最新</w:t>
      </w:r>
      <w:proofErr w:type="gramEnd"/>
      <w:r w:rsidR="005B4A9F" w:rsidRPr="002A1A9B">
        <w:rPr>
          <w:rFonts w:asciiTheme="minorEastAsia" w:hAnsiTheme="minorEastAsia" w:hint="eastAsia"/>
          <w:sz w:val="24"/>
          <w:szCs w:val="24"/>
        </w:rPr>
        <w:t>系列GPU的国产</w:t>
      </w:r>
      <w:proofErr w:type="gramStart"/>
      <w:r w:rsidR="005B4A9F" w:rsidRPr="002A1A9B">
        <w:rPr>
          <w:rFonts w:asciiTheme="minorEastAsia" w:hAnsiTheme="minorEastAsia" w:hint="eastAsia"/>
          <w:sz w:val="24"/>
          <w:szCs w:val="24"/>
        </w:rPr>
        <w:t>高性能算力服务器</w:t>
      </w:r>
      <w:proofErr w:type="gramEnd"/>
      <w:r w:rsidR="005B4A9F" w:rsidRPr="002A1A9B">
        <w:rPr>
          <w:rFonts w:asciiTheme="minorEastAsia" w:hAnsiTheme="minorEastAsia" w:hint="eastAsia"/>
          <w:sz w:val="24"/>
          <w:szCs w:val="24"/>
        </w:rPr>
        <w:t>集群。</w:t>
      </w:r>
    </w:p>
    <w:p w:rsidR="00EE3B76" w:rsidRPr="002A1A9B" w:rsidRDefault="00385838" w:rsidP="005C340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A1A9B">
        <w:rPr>
          <w:rFonts w:asciiTheme="minorEastAsia" w:hAnsiTheme="minorEastAsia" w:hint="eastAsia"/>
          <w:sz w:val="24"/>
          <w:szCs w:val="24"/>
        </w:rPr>
        <w:t>上述后续投资计划</w:t>
      </w:r>
      <w:r w:rsidR="0077785B">
        <w:rPr>
          <w:rFonts w:asciiTheme="minorEastAsia" w:hAnsiTheme="minorEastAsia" w:hint="eastAsia"/>
          <w:sz w:val="24"/>
          <w:szCs w:val="24"/>
        </w:rPr>
        <w:t>目前处于可研阶段，</w:t>
      </w:r>
      <w:r w:rsidR="0077785B" w:rsidRPr="002A1A9B">
        <w:rPr>
          <w:rFonts w:asciiTheme="minorEastAsia" w:hAnsiTheme="minorEastAsia" w:hint="eastAsia"/>
          <w:sz w:val="24"/>
          <w:szCs w:val="24"/>
        </w:rPr>
        <w:t>项目具体建设期、投资规模等请以公司后续公告为准。</w:t>
      </w:r>
    </w:p>
    <w:p w:rsidR="00BC6BF7" w:rsidRPr="002A1A9B" w:rsidRDefault="00EE3B76" w:rsidP="008B0737">
      <w:pPr>
        <w:spacing w:line="360" w:lineRule="auto"/>
        <w:ind w:firstLineChars="176" w:firstLine="424"/>
        <w:rPr>
          <w:rFonts w:asciiTheme="minorEastAsia" w:hAnsiTheme="minorEastAsia"/>
          <w:b/>
          <w:sz w:val="24"/>
          <w:szCs w:val="24"/>
        </w:rPr>
      </w:pPr>
      <w:r w:rsidRPr="002A1A9B">
        <w:rPr>
          <w:rFonts w:asciiTheme="minorEastAsia" w:hAnsiTheme="minorEastAsia" w:hint="eastAsia"/>
          <w:b/>
          <w:sz w:val="24"/>
          <w:szCs w:val="24"/>
        </w:rPr>
        <w:t>四</w:t>
      </w:r>
      <w:r w:rsidR="00BC6BF7" w:rsidRPr="002A1A9B">
        <w:rPr>
          <w:rFonts w:asciiTheme="minorEastAsia" w:hAnsiTheme="minorEastAsia" w:hint="eastAsia"/>
          <w:b/>
          <w:sz w:val="24"/>
          <w:szCs w:val="24"/>
        </w:rPr>
        <w:t>、风险提示</w:t>
      </w:r>
    </w:p>
    <w:p w:rsidR="006B3357" w:rsidRPr="002A1A9B" w:rsidRDefault="008320FD" w:rsidP="008B0737">
      <w:pPr>
        <w:pStyle w:val="a4"/>
        <w:spacing w:line="360" w:lineRule="auto"/>
        <w:ind w:firstLineChars="0" w:firstLine="426"/>
        <w:rPr>
          <w:rFonts w:asciiTheme="minorEastAsia" w:eastAsiaTheme="minorEastAsia" w:hAnsiTheme="minorEastAsia" w:cstheme="minorBidi"/>
          <w:sz w:val="24"/>
        </w:rPr>
      </w:pPr>
      <w:r w:rsidRPr="002A1A9B">
        <w:rPr>
          <w:rFonts w:asciiTheme="minorEastAsia" w:eastAsiaTheme="minorEastAsia" w:hAnsiTheme="minorEastAsia" w:cstheme="minorBidi" w:hint="eastAsia"/>
          <w:sz w:val="24"/>
        </w:rPr>
        <w:t>本次签署的《三方战略合作协议》为框架性协议，协议的履行存在一定的不确定性，协议</w:t>
      </w:r>
      <w:r w:rsidRPr="002A1A9B">
        <w:rPr>
          <w:rFonts w:asciiTheme="minorEastAsia" w:eastAsiaTheme="minorEastAsia" w:hAnsiTheme="minorEastAsia" w:cstheme="minorBidi"/>
          <w:sz w:val="24"/>
        </w:rPr>
        <w:t>的签署暂时不会对</w:t>
      </w:r>
      <w:r w:rsidRPr="002A1A9B">
        <w:rPr>
          <w:rFonts w:asciiTheme="minorEastAsia" w:eastAsiaTheme="minorEastAsia" w:hAnsiTheme="minorEastAsia" w:cstheme="minorBidi" w:hint="eastAsia"/>
          <w:sz w:val="24"/>
        </w:rPr>
        <w:t>公司</w:t>
      </w:r>
      <w:r w:rsidRPr="002A1A9B">
        <w:rPr>
          <w:rFonts w:asciiTheme="minorEastAsia" w:eastAsiaTheme="minorEastAsia" w:hAnsiTheme="minorEastAsia" w:cstheme="minorBidi"/>
          <w:sz w:val="24"/>
        </w:rPr>
        <w:t>本年度财务状况或经营业绩</w:t>
      </w:r>
      <w:r w:rsidRPr="002A1A9B">
        <w:rPr>
          <w:rFonts w:asciiTheme="minorEastAsia" w:eastAsiaTheme="minorEastAsia" w:hAnsiTheme="minorEastAsia" w:cstheme="minorBidi" w:hint="eastAsia"/>
          <w:sz w:val="24"/>
        </w:rPr>
        <w:t>产生重大影响。具体合作内容及相关约定应以后续签订的正式合作协议为准。公司会根</w:t>
      </w:r>
      <w:r w:rsidR="00831FA0" w:rsidRPr="002A1A9B">
        <w:rPr>
          <w:rFonts w:asciiTheme="minorEastAsia" w:eastAsiaTheme="minorEastAsia" w:hAnsiTheme="minorEastAsia" w:cstheme="minorBidi" w:hint="eastAsia"/>
          <w:sz w:val="24"/>
        </w:rPr>
        <w:t>据后续进展情况履行相应的审议程序</w:t>
      </w:r>
      <w:r w:rsidR="00EE3B76" w:rsidRPr="002A1A9B">
        <w:rPr>
          <w:rFonts w:asciiTheme="minorEastAsia" w:eastAsiaTheme="minorEastAsia" w:hAnsiTheme="minorEastAsia" w:cstheme="minorBidi" w:hint="eastAsia"/>
          <w:sz w:val="24"/>
        </w:rPr>
        <w:t>并</w:t>
      </w:r>
      <w:r w:rsidR="00831FA0" w:rsidRPr="002A1A9B">
        <w:rPr>
          <w:rFonts w:asciiTheme="minorEastAsia" w:eastAsiaTheme="minorEastAsia" w:hAnsiTheme="minorEastAsia" w:cstheme="minorBidi" w:hint="eastAsia"/>
          <w:sz w:val="24"/>
        </w:rPr>
        <w:t>及时履行信息披露义务。</w:t>
      </w:r>
    </w:p>
    <w:p w:rsidR="00831FA0" w:rsidRPr="002A1A9B" w:rsidRDefault="007B457F" w:rsidP="008B0737">
      <w:pPr>
        <w:pStyle w:val="a4"/>
        <w:spacing w:line="360" w:lineRule="auto"/>
        <w:ind w:firstLineChars="0" w:firstLine="426"/>
        <w:rPr>
          <w:rFonts w:asciiTheme="minorEastAsia" w:eastAsiaTheme="minorEastAsia" w:hAnsiTheme="minorEastAsia" w:cstheme="minorBidi"/>
          <w:sz w:val="24"/>
        </w:rPr>
      </w:pPr>
      <w:r w:rsidRPr="002A1A9B">
        <w:rPr>
          <w:rFonts w:asciiTheme="minorEastAsia" w:eastAsiaTheme="minorEastAsia" w:hAnsiTheme="minorEastAsia" w:cstheme="minorBidi" w:hint="eastAsia"/>
          <w:sz w:val="24"/>
        </w:rPr>
        <w:t>《三方战略合作协议》的签署</w:t>
      </w:r>
      <w:proofErr w:type="gramStart"/>
      <w:r w:rsidRPr="002A1A9B">
        <w:rPr>
          <w:rFonts w:asciiTheme="minorEastAsia" w:eastAsiaTheme="minorEastAsia" w:hAnsiTheme="minorEastAsia" w:cstheme="minorBidi" w:hint="eastAsia"/>
          <w:sz w:val="24"/>
        </w:rPr>
        <w:t>及智算中心</w:t>
      </w:r>
      <w:proofErr w:type="gramEnd"/>
      <w:r w:rsidRPr="002A1A9B">
        <w:rPr>
          <w:rFonts w:asciiTheme="minorEastAsia" w:eastAsiaTheme="minorEastAsia" w:hAnsiTheme="minorEastAsia" w:cstheme="minorBidi" w:hint="eastAsia"/>
          <w:sz w:val="24"/>
        </w:rPr>
        <w:t>项目建设，为公司新进入</w:t>
      </w:r>
      <w:proofErr w:type="gramStart"/>
      <w:r w:rsidRPr="002A1A9B">
        <w:rPr>
          <w:rFonts w:asciiTheme="minorEastAsia" w:eastAsiaTheme="minorEastAsia" w:hAnsiTheme="minorEastAsia" w:cstheme="minorBidi" w:hint="eastAsia"/>
          <w:sz w:val="24"/>
        </w:rPr>
        <w:t>智能算力</w:t>
      </w:r>
      <w:r w:rsidR="002A33FB" w:rsidRPr="002A1A9B">
        <w:rPr>
          <w:rFonts w:asciiTheme="minorEastAsia" w:eastAsiaTheme="minorEastAsia" w:hAnsiTheme="minorEastAsia" w:cstheme="minorBidi" w:hint="eastAsia"/>
          <w:sz w:val="24"/>
        </w:rPr>
        <w:t>投资</w:t>
      </w:r>
      <w:proofErr w:type="gramEnd"/>
      <w:r w:rsidRPr="002A1A9B">
        <w:rPr>
          <w:rFonts w:asciiTheme="minorEastAsia" w:eastAsiaTheme="minorEastAsia" w:hAnsiTheme="minorEastAsia" w:cstheme="minorBidi" w:hint="eastAsia"/>
          <w:sz w:val="24"/>
        </w:rPr>
        <w:t>领域，</w:t>
      </w:r>
      <w:r w:rsidR="002A33FB" w:rsidRPr="002A1A9B">
        <w:rPr>
          <w:rFonts w:asciiTheme="minorEastAsia" w:eastAsiaTheme="minorEastAsia" w:hAnsiTheme="minorEastAsia" w:cstheme="minorBidi" w:hint="eastAsia"/>
          <w:sz w:val="24"/>
        </w:rPr>
        <w:t>主要</w:t>
      </w:r>
      <w:proofErr w:type="gramStart"/>
      <w:r w:rsidR="002A33FB" w:rsidRPr="002A1A9B">
        <w:rPr>
          <w:rFonts w:asciiTheme="minorEastAsia" w:eastAsiaTheme="minorEastAsia" w:hAnsiTheme="minorEastAsia" w:cstheme="minorBidi" w:hint="eastAsia"/>
          <w:sz w:val="24"/>
        </w:rPr>
        <w:t>提供算力服务</w:t>
      </w:r>
      <w:proofErr w:type="gramEnd"/>
      <w:r w:rsidR="002A33FB" w:rsidRPr="002A1A9B">
        <w:rPr>
          <w:rFonts w:asciiTheme="minorEastAsia" w:eastAsiaTheme="minorEastAsia" w:hAnsiTheme="minorEastAsia" w:cstheme="minorBidi" w:hint="eastAsia"/>
          <w:sz w:val="24"/>
        </w:rPr>
        <w:t>，</w:t>
      </w:r>
      <w:r w:rsidRPr="002A1A9B">
        <w:rPr>
          <w:rFonts w:asciiTheme="minorEastAsia" w:eastAsiaTheme="minorEastAsia" w:hAnsiTheme="minorEastAsia" w:cstheme="minorBidi" w:hint="eastAsia"/>
          <w:sz w:val="24"/>
        </w:rPr>
        <w:t>后续投资还存在下列风险：</w:t>
      </w:r>
    </w:p>
    <w:p w:rsidR="0043349A" w:rsidRPr="002A1A9B" w:rsidRDefault="0043349A" w:rsidP="008B0737">
      <w:pPr>
        <w:spacing w:line="360" w:lineRule="auto"/>
        <w:ind w:firstLineChars="196" w:firstLine="470"/>
        <w:rPr>
          <w:rFonts w:asciiTheme="minorEastAsia" w:hAnsiTheme="minorEastAsia"/>
          <w:kern w:val="0"/>
          <w:sz w:val="24"/>
          <w:szCs w:val="24"/>
        </w:rPr>
      </w:pPr>
      <w:r w:rsidRPr="002A1A9B">
        <w:rPr>
          <w:rFonts w:asciiTheme="minorEastAsia" w:hAnsiTheme="minorEastAsia" w:hint="eastAsia"/>
          <w:kern w:val="0"/>
          <w:sz w:val="24"/>
          <w:szCs w:val="24"/>
        </w:rPr>
        <w:t>1、政策及市场风险</w:t>
      </w:r>
    </w:p>
    <w:p w:rsidR="0043349A" w:rsidRPr="002A1A9B" w:rsidRDefault="0043349A" w:rsidP="008B0737">
      <w:pPr>
        <w:spacing w:line="360" w:lineRule="auto"/>
        <w:ind w:firstLineChars="196" w:firstLine="470"/>
        <w:rPr>
          <w:rFonts w:asciiTheme="minorEastAsia" w:hAnsiTheme="minorEastAsia"/>
          <w:kern w:val="0"/>
          <w:sz w:val="24"/>
          <w:szCs w:val="24"/>
        </w:rPr>
      </w:pPr>
      <w:r w:rsidRPr="002A1A9B">
        <w:rPr>
          <w:rFonts w:asciiTheme="minorEastAsia" w:hAnsiTheme="minorEastAsia" w:hint="eastAsia"/>
          <w:kern w:val="0"/>
          <w:sz w:val="24"/>
          <w:szCs w:val="24"/>
        </w:rPr>
        <w:t>项目投资及后续经营过程中存在市场竞争加剧、设备价格波动等风险，同时也存在相关产业政策变化等风险，上述风险可能会对公司该项目投资及效益达成情况存在不利影响。公司将持续关注政策及市场需求变化，积极开拓市场降低相关风险。</w:t>
      </w:r>
    </w:p>
    <w:p w:rsidR="0043349A" w:rsidRPr="002A1A9B" w:rsidRDefault="0043349A" w:rsidP="008B0737">
      <w:pPr>
        <w:spacing w:line="360" w:lineRule="auto"/>
        <w:ind w:firstLineChars="196" w:firstLine="470"/>
        <w:rPr>
          <w:rFonts w:asciiTheme="minorEastAsia" w:hAnsiTheme="minorEastAsia"/>
          <w:kern w:val="0"/>
          <w:sz w:val="24"/>
          <w:szCs w:val="24"/>
        </w:rPr>
      </w:pPr>
      <w:r w:rsidRPr="002A1A9B">
        <w:rPr>
          <w:rFonts w:asciiTheme="minorEastAsia" w:hAnsiTheme="minorEastAsia" w:hint="eastAsia"/>
          <w:kern w:val="0"/>
          <w:sz w:val="24"/>
          <w:szCs w:val="24"/>
        </w:rPr>
        <w:t>2、技术更新及设备迭代较快风险</w:t>
      </w:r>
    </w:p>
    <w:p w:rsidR="0043349A" w:rsidRPr="002A1A9B" w:rsidRDefault="0043349A" w:rsidP="008B0737">
      <w:pPr>
        <w:spacing w:line="360" w:lineRule="auto"/>
        <w:ind w:firstLineChars="196" w:firstLine="470"/>
        <w:rPr>
          <w:rFonts w:asciiTheme="minorEastAsia" w:hAnsiTheme="minorEastAsia"/>
          <w:kern w:val="0"/>
          <w:sz w:val="24"/>
          <w:szCs w:val="24"/>
        </w:rPr>
      </w:pPr>
      <w:r w:rsidRPr="002A1A9B">
        <w:rPr>
          <w:rFonts w:asciiTheme="minorEastAsia" w:hAnsiTheme="minorEastAsia" w:hint="eastAsia"/>
          <w:kern w:val="0"/>
          <w:sz w:val="24"/>
          <w:szCs w:val="24"/>
        </w:rPr>
        <w:t>项目建设存在一定周期，设备及技术更新迭代较快，项目建设及后续运营过程中存在设备落后及老化风险，会对公司项目运营存在不利影响。公司将积极关注技术更新及设备迭代情况，持续提升项目管理水平及运营团队技术水平。</w:t>
      </w:r>
    </w:p>
    <w:p w:rsidR="0043349A" w:rsidRPr="002A1A9B" w:rsidRDefault="007B457F" w:rsidP="008B0737">
      <w:pPr>
        <w:spacing w:line="360" w:lineRule="auto"/>
        <w:ind w:firstLineChars="196" w:firstLine="470"/>
        <w:rPr>
          <w:rFonts w:asciiTheme="minorEastAsia" w:hAnsiTheme="minorEastAsia"/>
          <w:kern w:val="0"/>
          <w:sz w:val="24"/>
          <w:szCs w:val="24"/>
        </w:rPr>
      </w:pPr>
      <w:r w:rsidRPr="002A1A9B">
        <w:rPr>
          <w:rFonts w:asciiTheme="minorEastAsia" w:hAnsiTheme="minorEastAsia" w:hint="eastAsia"/>
          <w:kern w:val="0"/>
          <w:sz w:val="24"/>
          <w:szCs w:val="24"/>
        </w:rPr>
        <w:t>3、运</w:t>
      </w:r>
      <w:proofErr w:type="gramStart"/>
      <w:r w:rsidRPr="002A1A9B">
        <w:rPr>
          <w:rFonts w:asciiTheme="minorEastAsia" w:hAnsiTheme="minorEastAsia" w:hint="eastAsia"/>
          <w:kern w:val="0"/>
          <w:sz w:val="24"/>
          <w:szCs w:val="24"/>
        </w:rPr>
        <w:t>维人员</w:t>
      </w:r>
      <w:proofErr w:type="gramEnd"/>
      <w:r w:rsidRPr="002A1A9B">
        <w:rPr>
          <w:rFonts w:asciiTheme="minorEastAsia" w:hAnsiTheme="minorEastAsia" w:hint="eastAsia"/>
          <w:kern w:val="0"/>
          <w:sz w:val="24"/>
          <w:szCs w:val="24"/>
        </w:rPr>
        <w:t>及储备风险</w:t>
      </w:r>
    </w:p>
    <w:p w:rsidR="0043349A" w:rsidRPr="002A1A9B" w:rsidRDefault="0043349A" w:rsidP="008B0737">
      <w:pPr>
        <w:spacing w:line="360" w:lineRule="auto"/>
        <w:ind w:firstLineChars="196" w:firstLine="470"/>
        <w:rPr>
          <w:rFonts w:asciiTheme="minorEastAsia" w:hAnsiTheme="minorEastAsia"/>
          <w:kern w:val="0"/>
          <w:sz w:val="24"/>
          <w:szCs w:val="24"/>
        </w:rPr>
      </w:pPr>
      <w:r w:rsidRPr="002A1A9B">
        <w:rPr>
          <w:rFonts w:asciiTheme="minorEastAsia" w:hAnsiTheme="minorEastAsia" w:hint="eastAsia"/>
          <w:kern w:val="0"/>
          <w:sz w:val="24"/>
          <w:szCs w:val="24"/>
        </w:rPr>
        <w:t>该项目投</w:t>
      </w:r>
      <w:r w:rsidR="00C352AC">
        <w:rPr>
          <w:rFonts w:asciiTheme="minorEastAsia" w:hAnsiTheme="minorEastAsia" w:hint="eastAsia"/>
          <w:kern w:val="0"/>
          <w:sz w:val="24"/>
          <w:szCs w:val="24"/>
        </w:rPr>
        <w:t>资对技术要求相对较高，公司目前虽然有相关技术人员储备，但后续随</w:t>
      </w:r>
      <w:r w:rsidRPr="002A1A9B">
        <w:rPr>
          <w:rFonts w:asciiTheme="minorEastAsia" w:hAnsiTheme="minorEastAsia" w:hint="eastAsia"/>
          <w:kern w:val="0"/>
          <w:sz w:val="24"/>
          <w:szCs w:val="24"/>
        </w:rPr>
        <w:t>市场需求变化及技术更新等影响，公司现有的人员储备能否支撑项目运营尚存在不确定性，公司计划后续将持续关注项目人员需求情况，积极储备相关人员，降低相关风险。</w:t>
      </w:r>
    </w:p>
    <w:p w:rsidR="0043349A" w:rsidRPr="002A1A9B" w:rsidRDefault="0043349A" w:rsidP="008B0737">
      <w:pPr>
        <w:spacing w:line="360" w:lineRule="auto"/>
        <w:ind w:firstLineChars="196" w:firstLine="470"/>
        <w:rPr>
          <w:rFonts w:asciiTheme="minorEastAsia" w:hAnsiTheme="minorEastAsia"/>
          <w:kern w:val="0"/>
          <w:sz w:val="24"/>
          <w:szCs w:val="24"/>
        </w:rPr>
      </w:pPr>
      <w:r w:rsidRPr="002A1A9B">
        <w:rPr>
          <w:rFonts w:asciiTheme="minorEastAsia" w:hAnsiTheme="minorEastAsia" w:hint="eastAsia"/>
          <w:kern w:val="0"/>
          <w:sz w:val="24"/>
          <w:szCs w:val="24"/>
        </w:rPr>
        <w:t>4、资金筹措风险</w:t>
      </w:r>
    </w:p>
    <w:p w:rsidR="0043349A" w:rsidRPr="002A1A9B" w:rsidRDefault="0043349A" w:rsidP="008B0737">
      <w:pPr>
        <w:spacing w:line="360" w:lineRule="auto"/>
        <w:ind w:firstLineChars="196" w:firstLine="470"/>
        <w:rPr>
          <w:rFonts w:asciiTheme="minorEastAsia" w:hAnsiTheme="minorEastAsia"/>
          <w:kern w:val="0"/>
          <w:sz w:val="24"/>
          <w:szCs w:val="24"/>
        </w:rPr>
      </w:pPr>
      <w:r w:rsidRPr="002A1A9B">
        <w:rPr>
          <w:rFonts w:asciiTheme="minorEastAsia" w:hAnsiTheme="minorEastAsia" w:hint="eastAsia"/>
          <w:kern w:val="0"/>
          <w:sz w:val="24"/>
          <w:szCs w:val="24"/>
        </w:rPr>
        <w:t>项目投资资金来源均为公司自筹资金，且项目建设周期</w:t>
      </w:r>
      <w:r w:rsidR="00492DCD" w:rsidRPr="002A1A9B">
        <w:rPr>
          <w:rFonts w:asciiTheme="minorEastAsia" w:hAnsiTheme="minorEastAsia" w:hint="eastAsia"/>
          <w:kern w:val="0"/>
          <w:sz w:val="24"/>
          <w:szCs w:val="24"/>
        </w:rPr>
        <w:t>较长</w:t>
      </w:r>
      <w:r w:rsidRPr="002A1A9B">
        <w:rPr>
          <w:rFonts w:asciiTheme="minorEastAsia" w:hAnsiTheme="minorEastAsia" w:hint="eastAsia"/>
          <w:kern w:val="0"/>
          <w:sz w:val="24"/>
          <w:szCs w:val="24"/>
        </w:rPr>
        <w:t>及所需金额较大，可能存在资金筹措不足，影响项目实施的风险，后续公司将加强现金流管理，努力降低财务风险。</w:t>
      </w:r>
    </w:p>
    <w:p w:rsidR="0043349A" w:rsidRPr="002A1A9B" w:rsidRDefault="0043349A" w:rsidP="008B0737">
      <w:pPr>
        <w:spacing w:line="360" w:lineRule="auto"/>
        <w:ind w:firstLineChars="196" w:firstLine="470"/>
        <w:rPr>
          <w:rFonts w:asciiTheme="minorEastAsia" w:hAnsiTheme="minorEastAsia"/>
          <w:kern w:val="0"/>
          <w:sz w:val="24"/>
          <w:szCs w:val="24"/>
        </w:rPr>
      </w:pPr>
      <w:r w:rsidRPr="002A1A9B">
        <w:rPr>
          <w:rFonts w:asciiTheme="minorEastAsia" w:hAnsiTheme="minorEastAsia" w:hint="eastAsia"/>
          <w:kern w:val="0"/>
          <w:sz w:val="24"/>
          <w:szCs w:val="24"/>
        </w:rPr>
        <w:t>以上风险为公司可能预见的风险，后续可能会面临其他未知风险，公司将持续关注</w:t>
      </w:r>
      <w:r w:rsidR="00492DCD" w:rsidRPr="002A1A9B">
        <w:rPr>
          <w:rFonts w:asciiTheme="minorEastAsia" w:hAnsiTheme="minorEastAsia" w:hint="eastAsia"/>
          <w:sz w:val="24"/>
          <w:szCs w:val="24"/>
        </w:rPr>
        <w:t>本次《三方战略合作协议》签署后的实际进展及正式合同签署情况，并根据相关进展另行履行相应的审议程序及信息披露义务，</w:t>
      </w:r>
      <w:r w:rsidRPr="002A1A9B">
        <w:rPr>
          <w:rFonts w:asciiTheme="minorEastAsia" w:hAnsiTheme="minorEastAsia" w:hint="eastAsia"/>
          <w:kern w:val="0"/>
          <w:sz w:val="24"/>
          <w:szCs w:val="24"/>
        </w:rPr>
        <w:t>敬请广大投资者注意投资风险。</w:t>
      </w:r>
    </w:p>
    <w:p w:rsidR="0043349A" w:rsidRPr="002A1A9B" w:rsidRDefault="0043349A" w:rsidP="008B0737">
      <w:pPr>
        <w:spacing w:line="360" w:lineRule="auto"/>
        <w:ind w:firstLineChars="196" w:firstLine="470"/>
        <w:rPr>
          <w:rFonts w:asciiTheme="minorEastAsia" w:hAnsiTheme="minorEastAsia"/>
          <w:kern w:val="0"/>
          <w:sz w:val="24"/>
          <w:szCs w:val="24"/>
        </w:rPr>
      </w:pPr>
      <w:r w:rsidRPr="002A1A9B">
        <w:rPr>
          <w:rFonts w:asciiTheme="minorEastAsia" w:hAnsiTheme="minorEastAsia" w:hint="eastAsia"/>
          <w:kern w:val="0"/>
          <w:sz w:val="24"/>
          <w:szCs w:val="24"/>
        </w:rPr>
        <w:t>特此公告。</w:t>
      </w:r>
    </w:p>
    <w:p w:rsidR="0043349A" w:rsidRPr="002A1A9B" w:rsidRDefault="0043349A" w:rsidP="008B0737">
      <w:pPr>
        <w:pStyle w:val="a4"/>
        <w:spacing w:line="360" w:lineRule="auto"/>
        <w:ind w:firstLineChars="0" w:firstLine="426"/>
        <w:rPr>
          <w:rFonts w:asciiTheme="minorEastAsia" w:eastAsiaTheme="minorEastAsia" w:hAnsiTheme="minorEastAsia" w:cstheme="minorBidi"/>
          <w:sz w:val="24"/>
        </w:rPr>
      </w:pPr>
    </w:p>
    <w:p w:rsidR="006B3357" w:rsidRPr="002A1A9B" w:rsidRDefault="008320FD" w:rsidP="008B0737">
      <w:pPr>
        <w:pStyle w:val="a4"/>
        <w:spacing w:line="360" w:lineRule="auto"/>
        <w:ind w:firstLineChars="0" w:firstLine="426"/>
        <w:jc w:val="right"/>
        <w:rPr>
          <w:rFonts w:asciiTheme="minorEastAsia" w:eastAsiaTheme="minorEastAsia" w:hAnsiTheme="minorEastAsia" w:cstheme="minorBidi"/>
          <w:sz w:val="24"/>
        </w:rPr>
      </w:pPr>
      <w:r w:rsidRPr="002A1A9B">
        <w:rPr>
          <w:rFonts w:asciiTheme="minorEastAsia" w:eastAsiaTheme="minorEastAsia" w:hAnsiTheme="minorEastAsia" w:cstheme="minorBidi" w:hint="eastAsia"/>
          <w:sz w:val="24"/>
        </w:rPr>
        <w:t>华孚时尚股份有限公司董事会</w:t>
      </w:r>
    </w:p>
    <w:p w:rsidR="006B3357" w:rsidRPr="002A1A9B" w:rsidRDefault="0043349A" w:rsidP="008B0737">
      <w:pPr>
        <w:pStyle w:val="a4"/>
        <w:spacing w:line="360" w:lineRule="auto"/>
        <w:ind w:firstLineChars="0" w:firstLine="426"/>
        <w:jc w:val="right"/>
        <w:rPr>
          <w:rFonts w:asciiTheme="minorEastAsia" w:eastAsiaTheme="minorEastAsia" w:hAnsiTheme="minorEastAsia"/>
          <w:sz w:val="24"/>
        </w:rPr>
      </w:pPr>
      <w:r w:rsidRPr="002A1A9B">
        <w:rPr>
          <w:rFonts w:asciiTheme="minorEastAsia" w:eastAsiaTheme="minorEastAsia" w:hAnsiTheme="minorEastAsia" w:cstheme="minorBidi" w:hint="eastAsia"/>
          <w:sz w:val="24"/>
        </w:rPr>
        <w:t>二〇二四年一月二十三</w:t>
      </w:r>
      <w:r w:rsidR="008320FD" w:rsidRPr="002A1A9B">
        <w:rPr>
          <w:rFonts w:asciiTheme="minorEastAsia" w:eastAsiaTheme="minorEastAsia" w:hAnsiTheme="minorEastAsia" w:cstheme="minorBidi" w:hint="eastAsia"/>
          <w:sz w:val="24"/>
        </w:rPr>
        <w:t>日</w:t>
      </w:r>
    </w:p>
    <w:sectPr w:rsidR="006B3357" w:rsidRPr="002A1A9B" w:rsidSect="0077785B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65" w:rsidRDefault="00C42D65" w:rsidP="008320FD">
      <w:r>
        <w:separator/>
      </w:r>
    </w:p>
  </w:endnote>
  <w:endnote w:type="continuationSeparator" w:id="0">
    <w:p w:rsidR="00C42D65" w:rsidRDefault="00C42D65" w:rsidP="0083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65" w:rsidRDefault="00C42D65" w:rsidP="008320FD">
      <w:r>
        <w:separator/>
      </w:r>
    </w:p>
  </w:footnote>
  <w:footnote w:type="continuationSeparator" w:id="0">
    <w:p w:rsidR="00C42D65" w:rsidRDefault="00C42D65" w:rsidP="0083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E9FFF"/>
    <w:multiLevelType w:val="singleLevel"/>
    <w:tmpl w:val="D49E9FFF"/>
    <w:lvl w:ilvl="0">
      <w:start w:val="1"/>
      <w:numFmt w:val="decimal"/>
      <w:suff w:val="nothing"/>
      <w:lvlText w:val="%1、"/>
      <w:lvlJc w:val="left"/>
    </w:lvl>
  </w:abstractNum>
  <w:abstractNum w:abstractNumId="1">
    <w:nsid w:val="6AA44EAF"/>
    <w:multiLevelType w:val="singleLevel"/>
    <w:tmpl w:val="6AA44EA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A0032E"/>
    <w:rsid w:val="000019FF"/>
    <w:rsid w:val="00002623"/>
    <w:rsid w:val="00005DEE"/>
    <w:rsid w:val="00007559"/>
    <w:rsid w:val="00010F65"/>
    <w:rsid w:val="00011B65"/>
    <w:rsid w:val="000216C0"/>
    <w:rsid w:val="000230C6"/>
    <w:rsid w:val="000453E9"/>
    <w:rsid w:val="00055FE1"/>
    <w:rsid w:val="00061ECF"/>
    <w:rsid w:val="000701E3"/>
    <w:rsid w:val="00074387"/>
    <w:rsid w:val="000767CE"/>
    <w:rsid w:val="0008335A"/>
    <w:rsid w:val="00084CBA"/>
    <w:rsid w:val="00092FA3"/>
    <w:rsid w:val="00095FDE"/>
    <w:rsid w:val="0009754A"/>
    <w:rsid w:val="000A31B2"/>
    <w:rsid w:val="000B525A"/>
    <w:rsid w:val="000D5AED"/>
    <w:rsid w:val="000E1B8B"/>
    <w:rsid w:val="000E3BB5"/>
    <w:rsid w:val="000F3911"/>
    <w:rsid w:val="001025CB"/>
    <w:rsid w:val="001070EB"/>
    <w:rsid w:val="00107D0B"/>
    <w:rsid w:val="00107F1A"/>
    <w:rsid w:val="0011459C"/>
    <w:rsid w:val="001146E1"/>
    <w:rsid w:val="0011792E"/>
    <w:rsid w:val="001248D7"/>
    <w:rsid w:val="001551AD"/>
    <w:rsid w:val="00171DAB"/>
    <w:rsid w:val="00177E91"/>
    <w:rsid w:val="00182534"/>
    <w:rsid w:val="00182B25"/>
    <w:rsid w:val="00186A7F"/>
    <w:rsid w:val="0019218D"/>
    <w:rsid w:val="00197684"/>
    <w:rsid w:val="001A53EC"/>
    <w:rsid w:val="001A6685"/>
    <w:rsid w:val="001B7C44"/>
    <w:rsid w:val="001C3657"/>
    <w:rsid w:val="001D699B"/>
    <w:rsid w:val="001E4444"/>
    <w:rsid w:val="001E6A7F"/>
    <w:rsid w:val="001F4720"/>
    <w:rsid w:val="002002B2"/>
    <w:rsid w:val="00206317"/>
    <w:rsid w:val="00206BC1"/>
    <w:rsid w:val="002255C8"/>
    <w:rsid w:val="002312AB"/>
    <w:rsid w:val="0025578A"/>
    <w:rsid w:val="00257D66"/>
    <w:rsid w:val="00262AED"/>
    <w:rsid w:val="00280C37"/>
    <w:rsid w:val="00287EF9"/>
    <w:rsid w:val="002A1A9B"/>
    <w:rsid w:val="002A33FB"/>
    <w:rsid w:val="002A614E"/>
    <w:rsid w:val="002B058C"/>
    <w:rsid w:val="002B083F"/>
    <w:rsid w:val="002B4DE7"/>
    <w:rsid w:val="002C229C"/>
    <w:rsid w:val="002C530E"/>
    <w:rsid w:val="002D2300"/>
    <w:rsid w:val="002D752F"/>
    <w:rsid w:val="002D7AFE"/>
    <w:rsid w:val="002E7298"/>
    <w:rsid w:val="002F00C9"/>
    <w:rsid w:val="002F2740"/>
    <w:rsid w:val="002F311B"/>
    <w:rsid w:val="00300F42"/>
    <w:rsid w:val="00302D29"/>
    <w:rsid w:val="00304690"/>
    <w:rsid w:val="003133EE"/>
    <w:rsid w:val="00320182"/>
    <w:rsid w:val="003213CB"/>
    <w:rsid w:val="003218FA"/>
    <w:rsid w:val="003329B2"/>
    <w:rsid w:val="00336BEF"/>
    <w:rsid w:val="00337609"/>
    <w:rsid w:val="003416A2"/>
    <w:rsid w:val="00342D1A"/>
    <w:rsid w:val="00345776"/>
    <w:rsid w:val="003478E7"/>
    <w:rsid w:val="0035639F"/>
    <w:rsid w:val="003652B7"/>
    <w:rsid w:val="00366E9A"/>
    <w:rsid w:val="003716E6"/>
    <w:rsid w:val="00372543"/>
    <w:rsid w:val="0037618A"/>
    <w:rsid w:val="00380521"/>
    <w:rsid w:val="00385838"/>
    <w:rsid w:val="0039334C"/>
    <w:rsid w:val="003966BC"/>
    <w:rsid w:val="003A05A5"/>
    <w:rsid w:val="003B05DA"/>
    <w:rsid w:val="003C57F2"/>
    <w:rsid w:val="003C6FBD"/>
    <w:rsid w:val="003D5247"/>
    <w:rsid w:val="003E1441"/>
    <w:rsid w:val="003F0209"/>
    <w:rsid w:val="003F1F7B"/>
    <w:rsid w:val="003F5722"/>
    <w:rsid w:val="003F5E07"/>
    <w:rsid w:val="003F6DCB"/>
    <w:rsid w:val="003F702A"/>
    <w:rsid w:val="003F73AE"/>
    <w:rsid w:val="00403496"/>
    <w:rsid w:val="00405504"/>
    <w:rsid w:val="00407954"/>
    <w:rsid w:val="00410C2F"/>
    <w:rsid w:val="004149A0"/>
    <w:rsid w:val="0042119D"/>
    <w:rsid w:val="00421D1C"/>
    <w:rsid w:val="0042273F"/>
    <w:rsid w:val="00422C9C"/>
    <w:rsid w:val="00423A4C"/>
    <w:rsid w:val="0042566F"/>
    <w:rsid w:val="0043104D"/>
    <w:rsid w:val="00431DBB"/>
    <w:rsid w:val="0043241A"/>
    <w:rsid w:val="0043349A"/>
    <w:rsid w:val="00433DA6"/>
    <w:rsid w:val="00441A94"/>
    <w:rsid w:val="004430DA"/>
    <w:rsid w:val="00450241"/>
    <w:rsid w:val="00457971"/>
    <w:rsid w:val="00457D39"/>
    <w:rsid w:val="004604C1"/>
    <w:rsid w:val="00464558"/>
    <w:rsid w:val="0046556E"/>
    <w:rsid w:val="00475E89"/>
    <w:rsid w:val="00477384"/>
    <w:rsid w:val="00492DCD"/>
    <w:rsid w:val="0049482C"/>
    <w:rsid w:val="004A17CB"/>
    <w:rsid w:val="004B309A"/>
    <w:rsid w:val="004B6344"/>
    <w:rsid w:val="004B652B"/>
    <w:rsid w:val="004C4632"/>
    <w:rsid w:val="004C556A"/>
    <w:rsid w:val="004C6DC8"/>
    <w:rsid w:val="004C75DD"/>
    <w:rsid w:val="004C7E96"/>
    <w:rsid w:val="004D0BB3"/>
    <w:rsid w:val="004D1DC7"/>
    <w:rsid w:val="004E34AE"/>
    <w:rsid w:val="004E42ED"/>
    <w:rsid w:val="004E6E95"/>
    <w:rsid w:val="004F316F"/>
    <w:rsid w:val="004F7D21"/>
    <w:rsid w:val="0050285F"/>
    <w:rsid w:val="005123C1"/>
    <w:rsid w:val="00513DB3"/>
    <w:rsid w:val="00515DC8"/>
    <w:rsid w:val="00531F14"/>
    <w:rsid w:val="005366D6"/>
    <w:rsid w:val="005373EB"/>
    <w:rsid w:val="0056000A"/>
    <w:rsid w:val="005646C2"/>
    <w:rsid w:val="00565916"/>
    <w:rsid w:val="00570396"/>
    <w:rsid w:val="00574C87"/>
    <w:rsid w:val="005835E5"/>
    <w:rsid w:val="00587547"/>
    <w:rsid w:val="005A0EA5"/>
    <w:rsid w:val="005A552E"/>
    <w:rsid w:val="005A6D77"/>
    <w:rsid w:val="005B216E"/>
    <w:rsid w:val="005B2525"/>
    <w:rsid w:val="005B4A9F"/>
    <w:rsid w:val="005C3402"/>
    <w:rsid w:val="005D1EA8"/>
    <w:rsid w:val="005D6014"/>
    <w:rsid w:val="005E37CE"/>
    <w:rsid w:val="005F239F"/>
    <w:rsid w:val="005F4E9F"/>
    <w:rsid w:val="005F6751"/>
    <w:rsid w:val="00600FDE"/>
    <w:rsid w:val="00607F39"/>
    <w:rsid w:val="006200D6"/>
    <w:rsid w:val="006223F9"/>
    <w:rsid w:val="006225EE"/>
    <w:rsid w:val="006243FA"/>
    <w:rsid w:val="00624ADD"/>
    <w:rsid w:val="006350D8"/>
    <w:rsid w:val="00645A73"/>
    <w:rsid w:val="00662EEA"/>
    <w:rsid w:val="0067490A"/>
    <w:rsid w:val="00690543"/>
    <w:rsid w:val="0069124E"/>
    <w:rsid w:val="00693339"/>
    <w:rsid w:val="00697D59"/>
    <w:rsid w:val="006A5C83"/>
    <w:rsid w:val="006B1178"/>
    <w:rsid w:val="006B3357"/>
    <w:rsid w:val="006B7097"/>
    <w:rsid w:val="006D6132"/>
    <w:rsid w:val="006D7F85"/>
    <w:rsid w:val="006E32D8"/>
    <w:rsid w:val="006F1709"/>
    <w:rsid w:val="006F2FD0"/>
    <w:rsid w:val="006F5E23"/>
    <w:rsid w:val="00703BA9"/>
    <w:rsid w:val="007056AE"/>
    <w:rsid w:val="00713191"/>
    <w:rsid w:val="0071490A"/>
    <w:rsid w:val="00715DAE"/>
    <w:rsid w:val="00730A12"/>
    <w:rsid w:val="00731270"/>
    <w:rsid w:val="00734867"/>
    <w:rsid w:val="00737C55"/>
    <w:rsid w:val="00751F02"/>
    <w:rsid w:val="00753F8A"/>
    <w:rsid w:val="00754E4D"/>
    <w:rsid w:val="00760899"/>
    <w:rsid w:val="007641EF"/>
    <w:rsid w:val="0077785B"/>
    <w:rsid w:val="00782B4C"/>
    <w:rsid w:val="007831F4"/>
    <w:rsid w:val="00787642"/>
    <w:rsid w:val="00790137"/>
    <w:rsid w:val="007929CB"/>
    <w:rsid w:val="00793BAA"/>
    <w:rsid w:val="007A37BB"/>
    <w:rsid w:val="007A6053"/>
    <w:rsid w:val="007A78AD"/>
    <w:rsid w:val="007B457F"/>
    <w:rsid w:val="007B5B0C"/>
    <w:rsid w:val="007C2765"/>
    <w:rsid w:val="007C7A69"/>
    <w:rsid w:val="007D24BB"/>
    <w:rsid w:val="007E02C7"/>
    <w:rsid w:val="007E2518"/>
    <w:rsid w:val="007E79FB"/>
    <w:rsid w:val="007F2EC2"/>
    <w:rsid w:val="007F410C"/>
    <w:rsid w:val="00807513"/>
    <w:rsid w:val="008105F3"/>
    <w:rsid w:val="008137A3"/>
    <w:rsid w:val="00813D46"/>
    <w:rsid w:val="008301C0"/>
    <w:rsid w:val="00831FA0"/>
    <w:rsid w:val="008320FD"/>
    <w:rsid w:val="00837F97"/>
    <w:rsid w:val="0084237F"/>
    <w:rsid w:val="00844D5C"/>
    <w:rsid w:val="0086141D"/>
    <w:rsid w:val="00861810"/>
    <w:rsid w:val="008639C8"/>
    <w:rsid w:val="00863D06"/>
    <w:rsid w:val="008729EC"/>
    <w:rsid w:val="00883FAE"/>
    <w:rsid w:val="008849A4"/>
    <w:rsid w:val="008935A5"/>
    <w:rsid w:val="0089744C"/>
    <w:rsid w:val="008A02EE"/>
    <w:rsid w:val="008A39E3"/>
    <w:rsid w:val="008A3A98"/>
    <w:rsid w:val="008B003C"/>
    <w:rsid w:val="008B0737"/>
    <w:rsid w:val="008B089B"/>
    <w:rsid w:val="008B13D9"/>
    <w:rsid w:val="008C2A56"/>
    <w:rsid w:val="008D08AB"/>
    <w:rsid w:val="008D30EB"/>
    <w:rsid w:val="008D668A"/>
    <w:rsid w:val="008D6FCF"/>
    <w:rsid w:val="008E09D4"/>
    <w:rsid w:val="008E41B3"/>
    <w:rsid w:val="008F203B"/>
    <w:rsid w:val="008F3266"/>
    <w:rsid w:val="008F434D"/>
    <w:rsid w:val="008F4961"/>
    <w:rsid w:val="008F678F"/>
    <w:rsid w:val="00902D07"/>
    <w:rsid w:val="00903484"/>
    <w:rsid w:val="009109BB"/>
    <w:rsid w:val="009131D5"/>
    <w:rsid w:val="00914327"/>
    <w:rsid w:val="00915592"/>
    <w:rsid w:val="00917056"/>
    <w:rsid w:val="00930CCD"/>
    <w:rsid w:val="00930FC6"/>
    <w:rsid w:val="009355EE"/>
    <w:rsid w:val="00940D4E"/>
    <w:rsid w:val="009426A9"/>
    <w:rsid w:val="00945139"/>
    <w:rsid w:val="00947DE4"/>
    <w:rsid w:val="0095052E"/>
    <w:rsid w:val="00952D47"/>
    <w:rsid w:val="0095793A"/>
    <w:rsid w:val="00963555"/>
    <w:rsid w:val="00965018"/>
    <w:rsid w:val="00966787"/>
    <w:rsid w:val="0098104D"/>
    <w:rsid w:val="00983F12"/>
    <w:rsid w:val="00985B4D"/>
    <w:rsid w:val="00990700"/>
    <w:rsid w:val="009A0CA5"/>
    <w:rsid w:val="009A3E1D"/>
    <w:rsid w:val="009A6C4D"/>
    <w:rsid w:val="009B1252"/>
    <w:rsid w:val="009B6F67"/>
    <w:rsid w:val="009C1F1A"/>
    <w:rsid w:val="009C3F19"/>
    <w:rsid w:val="009E0791"/>
    <w:rsid w:val="009F597B"/>
    <w:rsid w:val="00A0005E"/>
    <w:rsid w:val="00A0032E"/>
    <w:rsid w:val="00A20233"/>
    <w:rsid w:val="00A2419E"/>
    <w:rsid w:val="00A248FE"/>
    <w:rsid w:val="00A252C7"/>
    <w:rsid w:val="00A27A69"/>
    <w:rsid w:val="00A41B89"/>
    <w:rsid w:val="00A43EF3"/>
    <w:rsid w:val="00A46695"/>
    <w:rsid w:val="00A501B5"/>
    <w:rsid w:val="00A56B95"/>
    <w:rsid w:val="00A6438F"/>
    <w:rsid w:val="00A756F8"/>
    <w:rsid w:val="00A76D82"/>
    <w:rsid w:val="00A905AA"/>
    <w:rsid w:val="00A94297"/>
    <w:rsid w:val="00A977F9"/>
    <w:rsid w:val="00AB1ED4"/>
    <w:rsid w:val="00AB377E"/>
    <w:rsid w:val="00AB589D"/>
    <w:rsid w:val="00AC1F26"/>
    <w:rsid w:val="00AC3006"/>
    <w:rsid w:val="00AC5B1B"/>
    <w:rsid w:val="00AD07CF"/>
    <w:rsid w:val="00AD2F5A"/>
    <w:rsid w:val="00AD6CF3"/>
    <w:rsid w:val="00AD7154"/>
    <w:rsid w:val="00AE250B"/>
    <w:rsid w:val="00AE2BD8"/>
    <w:rsid w:val="00B02863"/>
    <w:rsid w:val="00B03FFA"/>
    <w:rsid w:val="00B041CD"/>
    <w:rsid w:val="00B05019"/>
    <w:rsid w:val="00B05947"/>
    <w:rsid w:val="00B10103"/>
    <w:rsid w:val="00B10C92"/>
    <w:rsid w:val="00B127C6"/>
    <w:rsid w:val="00B14707"/>
    <w:rsid w:val="00B311FC"/>
    <w:rsid w:val="00B431DC"/>
    <w:rsid w:val="00B50E00"/>
    <w:rsid w:val="00B52C6A"/>
    <w:rsid w:val="00B53B42"/>
    <w:rsid w:val="00B60BA7"/>
    <w:rsid w:val="00B62C04"/>
    <w:rsid w:val="00B64550"/>
    <w:rsid w:val="00B65A6B"/>
    <w:rsid w:val="00B66689"/>
    <w:rsid w:val="00B74502"/>
    <w:rsid w:val="00B767E9"/>
    <w:rsid w:val="00B8107F"/>
    <w:rsid w:val="00BA0FC2"/>
    <w:rsid w:val="00BA4768"/>
    <w:rsid w:val="00BA51BA"/>
    <w:rsid w:val="00BA535E"/>
    <w:rsid w:val="00BB0CCA"/>
    <w:rsid w:val="00BB2230"/>
    <w:rsid w:val="00BB7E15"/>
    <w:rsid w:val="00BB7F21"/>
    <w:rsid w:val="00BB7FEA"/>
    <w:rsid w:val="00BC085C"/>
    <w:rsid w:val="00BC0C30"/>
    <w:rsid w:val="00BC1CFB"/>
    <w:rsid w:val="00BC25F4"/>
    <w:rsid w:val="00BC5848"/>
    <w:rsid w:val="00BC6BF7"/>
    <w:rsid w:val="00BE00B1"/>
    <w:rsid w:val="00BE46F5"/>
    <w:rsid w:val="00BE60AF"/>
    <w:rsid w:val="00BF226E"/>
    <w:rsid w:val="00BF2333"/>
    <w:rsid w:val="00C035D8"/>
    <w:rsid w:val="00C03C8F"/>
    <w:rsid w:val="00C06588"/>
    <w:rsid w:val="00C120EA"/>
    <w:rsid w:val="00C20763"/>
    <w:rsid w:val="00C2323B"/>
    <w:rsid w:val="00C3404F"/>
    <w:rsid w:val="00C352AC"/>
    <w:rsid w:val="00C36EDC"/>
    <w:rsid w:val="00C37543"/>
    <w:rsid w:val="00C42D65"/>
    <w:rsid w:val="00C42FF0"/>
    <w:rsid w:val="00C43B98"/>
    <w:rsid w:val="00C45501"/>
    <w:rsid w:val="00C55AF8"/>
    <w:rsid w:val="00C55CAA"/>
    <w:rsid w:val="00C601F2"/>
    <w:rsid w:val="00C60A34"/>
    <w:rsid w:val="00C71EDC"/>
    <w:rsid w:val="00C725E8"/>
    <w:rsid w:val="00C742D4"/>
    <w:rsid w:val="00C81C40"/>
    <w:rsid w:val="00C950EB"/>
    <w:rsid w:val="00C95D38"/>
    <w:rsid w:val="00CB3DBC"/>
    <w:rsid w:val="00CB44F3"/>
    <w:rsid w:val="00CB455B"/>
    <w:rsid w:val="00CB614E"/>
    <w:rsid w:val="00CD0527"/>
    <w:rsid w:val="00CD313D"/>
    <w:rsid w:val="00CE2587"/>
    <w:rsid w:val="00CE5989"/>
    <w:rsid w:val="00CE5AFE"/>
    <w:rsid w:val="00CF14E0"/>
    <w:rsid w:val="00CF5980"/>
    <w:rsid w:val="00D01FDD"/>
    <w:rsid w:val="00D26953"/>
    <w:rsid w:val="00D26AD3"/>
    <w:rsid w:val="00D30C69"/>
    <w:rsid w:val="00D5102C"/>
    <w:rsid w:val="00D53EEC"/>
    <w:rsid w:val="00D54B8D"/>
    <w:rsid w:val="00D61778"/>
    <w:rsid w:val="00D647DF"/>
    <w:rsid w:val="00D65726"/>
    <w:rsid w:val="00D810C0"/>
    <w:rsid w:val="00D920CC"/>
    <w:rsid w:val="00D92F40"/>
    <w:rsid w:val="00DA1EFE"/>
    <w:rsid w:val="00DA360D"/>
    <w:rsid w:val="00DA3834"/>
    <w:rsid w:val="00DA592A"/>
    <w:rsid w:val="00DA7EEB"/>
    <w:rsid w:val="00DB6084"/>
    <w:rsid w:val="00DC2483"/>
    <w:rsid w:val="00DE53D7"/>
    <w:rsid w:val="00DE7C36"/>
    <w:rsid w:val="00DF183B"/>
    <w:rsid w:val="00DF43A2"/>
    <w:rsid w:val="00DF780B"/>
    <w:rsid w:val="00E10B70"/>
    <w:rsid w:val="00E11427"/>
    <w:rsid w:val="00E124D8"/>
    <w:rsid w:val="00E13DBC"/>
    <w:rsid w:val="00E14690"/>
    <w:rsid w:val="00E26562"/>
    <w:rsid w:val="00E344D0"/>
    <w:rsid w:val="00E42040"/>
    <w:rsid w:val="00E465EF"/>
    <w:rsid w:val="00E5052F"/>
    <w:rsid w:val="00E54B1B"/>
    <w:rsid w:val="00E7611D"/>
    <w:rsid w:val="00E9063A"/>
    <w:rsid w:val="00EA149A"/>
    <w:rsid w:val="00EA1FD3"/>
    <w:rsid w:val="00EA715E"/>
    <w:rsid w:val="00EA7A10"/>
    <w:rsid w:val="00EA7E89"/>
    <w:rsid w:val="00EB11F6"/>
    <w:rsid w:val="00EB253D"/>
    <w:rsid w:val="00EC3123"/>
    <w:rsid w:val="00EC598D"/>
    <w:rsid w:val="00EC5E1F"/>
    <w:rsid w:val="00EC6E5C"/>
    <w:rsid w:val="00ED03BF"/>
    <w:rsid w:val="00EE232E"/>
    <w:rsid w:val="00EE3B76"/>
    <w:rsid w:val="00EE4E95"/>
    <w:rsid w:val="00EF6DD9"/>
    <w:rsid w:val="00F03413"/>
    <w:rsid w:val="00F23380"/>
    <w:rsid w:val="00F33C4E"/>
    <w:rsid w:val="00F348D3"/>
    <w:rsid w:val="00F4261D"/>
    <w:rsid w:val="00F434BB"/>
    <w:rsid w:val="00F453DE"/>
    <w:rsid w:val="00F55203"/>
    <w:rsid w:val="00F575FE"/>
    <w:rsid w:val="00F624BF"/>
    <w:rsid w:val="00F64026"/>
    <w:rsid w:val="00F76371"/>
    <w:rsid w:val="00F905AA"/>
    <w:rsid w:val="00F910A7"/>
    <w:rsid w:val="00F9531C"/>
    <w:rsid w:val="00FA24D4"/>
    <w:rsid w:val="00FA40E5"/>
    <w:rsid w:val="00FA59FF"/>
    <w:rsid w:val="00FA73DB"/>
    <w:rsid w:val="00FB2A88"/>
    <w:rsid w:val="00FC2C1E"/>
    <w:rsid w:val="00FC3F0B"/>
    <w:rsid w:val="00FC606C"/>
    <w:rsid w:val="00FE196F"/>
    <w:rsid w:val="00FF44F8"/>
    <w:rsid w:val="010A478A"/>
    <w:rsid w:val="05757B7F"/>
    <w:rsid w:val="05900FD6"/>
    <w:rsid w:val="09800831"/>
    <w:rsid w:val="0D961154"/>
    <w:rsid w:val="0FE43BA9"/>
    <w:rsid w:val="11535CDA"/>
    <w:rsid w:val="148461AA"/>
    <w:rsid w:val="1BDE69D0"/>
    <w:rsid w:val="205C7FDB"/>
    <w:rsid w:val="239D1036"/>
    <w:rsid w:val="244B794C"/>
    <w:rsid w:val="2CC17B44"/>
    <w:rsid w:val="2F0B32F8"/>
    <w:rsid w:val="30E02828"/>
    <w:rsid w:val="373D64B9"/>
    <w:rsid w:val="375810A4"/>
    <w:rsid w:val="3F977340"/>
    <w:rsid w:val="40F55BB6"/>
    <w:rsid w:val="4E7E543D"/>
    <w:rsid w:val="53C5766A"/>
    <w:rsid w:val="569357FD"/>
    <w:rsid w:val="71B72890"/>
    <w:rsid w:val="79273E57"/>
    <w:rsid w:val="7D97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autoRedefine/>
    <w:qFormat/>
    <w:pPr>
      <w:spacing w:line="600" w:lineRule="atLeast"/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paragraph" w:styleId="a5">
    <w:name w:val="Date"/>
    <w:basedOn w:val="a"/>
    <w:next w:val="a"/>
    <w:link w:val="Char1"/>
    <w:autoRedefine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2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autoRedefine/>
    <w:uiPriority w:val="99"/>
    <w:semiHidden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table" w:styleId="aa">
    <w:name w:val="Table Grid"/>
    <w:basedOn w:val="a1"/>
    <w:autoRedefine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缩进 Char"/>
    <w:basedOn w:val="a0"/>
    <w:link w:val="a4"/>
    <w:autoRedefine/>
    <w:qFormat/>
    <w:rPr>
      <w:rFonts w:ascii="Times New Roman" w:eastAsia="宋体" w:hAnsi="Times New Roman" w:cs="Times New Roman"/>
      <w:sz w:val="28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2">
    <w:name w:val="批注框文本 Char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Char4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9"/>
    <w:autoRedefine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"/>
    <w:autoRedefine/>
    <w:qFormat/>
    <w:pPr>
      <w:spacing w:line="240" w:lineRule="atLeast"/>
      <w:ind w:left="420" w:firstLine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2Char">
    <w:name w:val="正文文本缩进 2 Char"/>
    <w:basedOn w:val="a0"/>
    <w:link w:val="2"/>
    <w:autoRedefine/>
    <w:uiPriority w:val="99"/>
    <w:semiHidden/>
    <w:qFormat/>
  </w:style>
  <w:style w:type="character" w:customStyle="1" w:styleId="Char1">
    <w:name w:val="日期 Char"/>
    <w:basedOn w:val="a0"/>
    <w:link w:val="a5"/>
    <w:autoRedefine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autoRedefine/>
    <w:qFormat/>
    <w:pPr>
      <w:spacing w:line="600" w:lineRule="atLeast"/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paragraph" w:styleId="a5">
    <w:name w:val="Date"/>
    <w:basedOn w:val="a"/>
    <w:next w:val="a"/>
    <w:link w:val="Char1"/>
    <w:autoRedefine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2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autoRedefine/>
    <w:uiPriority w:val="99"/>
    <w:semiHidden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table" w:styleId="aa">
    <w:name w:val="Table Grid"/>
    <w:basedOn w:val="a1"/>
    <w:autoRedefine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缩进 Char"/>
    <w:basedOn w:val="a0"/>
    <w:link w:val="a4"/>
    <w:autoRedefine/>
    <w:qFormat/>
    <w:rPr>
      <w:rFonts w:ascii="Times New Roman" w:eastAsia="宋体" w:hAnsi="Times New Roman" w:cs="Times New Roman"/>
      <w:sz w:val="28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2">
    <w:name w:val="批注框文本 Char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Char4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9"/>
    <w:autoRedefine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"/>
    <w:autoRedefine/>
    <w:qFormat/>
    <w:pPr>
      <w:spacing w:line="240" w:lineRule="atLeast"/>
      <w:ind w:left="420" w:firstLine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2Char">
    <w:name w:val="正文文本缩进 2 Char"/>
    <w:basedOn w:val="a0"/>
    <w:link w:val="2"/>
    <w:autoRedefine/>
    <w:uiPriority w:val="99"/>
    <w:semiHidden/>
    <w:qFormat/>
  </w:style>
  <w:style w:type="character" w:customStyle="1" w:styleId="Char1">
    <w:name w:val="日期 Char"/>
    <w:basedOn w:val="a0"/>
    <w:link w:val="a5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C26B-A970-44D4-A723-C549C976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384</Words>
  <Characters>2191</Characters>
  <Application>Microsoft Office Word</Application>
  <DocSecurity>0</DocSecurity>
  <Lines>18</Lines>
  <Paragraphs>5</Paragraphs>
  <ScaleCrop>false</ScaleCrop>
  <Company>Lenovo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10</cp:revision>
  <cp:lastPrinted>2024-01-22T22:43:00Z</cp:lastPrinted>
  <dcterms:created xsi:type="dcterms:W3CDTF">2024-01-22T22:56:00Z</dcterms:created>
  <dcterms:modified xsi:type="dcterms:W3CDTF">2024-01-22T23:45:00Z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A4FD71EA25E644749496F4D8421D2FEB_12</vt:lpwstr>
  </property>
</Properties>
</file>