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02" w:firstLineChars="49"/>
        <w:rPr>
          <w:rFonts w:hint="default" w:ascii="宋体" w:hAnsi="宋体" w:eastAsia="宋体" w:cs="宋体"/>
          <w:bCs/>
          <w:kern w:val="0"/>
          <w:szCs w:val="21"/>
          <w:lang w:val="en-US" w:eastAsia="zh-CN"/>
        </w:rPr>
      </w:pPr>
      <w:r>
        <w:rPr>
          <w:rFonts w:hint="eastAsia" w:ascii="宋体" w:hAnsi="宋体" w:eastAsia="宋体" w:cs="宋体"/>
          <w:bCs/>
          <w:kern w:val="0"/>
          <w:szCs w:val="21"/>
        </w:rPr>
        <w:t>证券代码：002042                证券简称：华孚时尚                公告编号：202</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w:t>
      </w:r>
      <w:r>
        <w:rPr>
          <w:rFonts w:hint="eastAsia" w:ascii="宋体" w:hAnsi="宋体" w:cs="宋体"/>
          <w:bCs/>
          <w:kern w:val="0"/>
          <w:szCs w:val="21"/>
          <w:lang w:val="en-US" w:eastAsia="zh-CN"/>
        </w:rPr>
        <w:t>67</w:t>
      </w:r>
    </w:p>
    <w:p>
      <w:pPr>
        <w:jc w:val="center"/>
        <w:rPr>
          <w:rFonts w:hint="eastAsia" w:ascii="宋体" w:hAnsi="宋体" w:eastAsia="宋体" w:cs="宋体"/>
          <w:b/>
          <w:bCs/>
          <w:sz w:val="8"/>
        </w:rPr>
      </w:pPr>
    </w:p>
    <w:p>
      <w:pPr>
        <w:jc w:val="center"/>
        <w:rPr>
          <w:rFonts w:hint="eastAsia" w:ascii="宋体" w:hAnsi="宋体" w:eastAsia="宋体" w:cs="宋体"/>
          <w:b/>
          <w:bCs/>
          <w:sz w:val="36"/>
        </w:rPr>
      </w:pPr>
      <w:r>
        <w:rPr>
          <w:rFonts w:hint="eastAsia" w:ascii="宋体" w:hAnsi="宋体" w:eastAsia="宋体" w:cs="宋体"/>
          <w:b/>
          <w:bCs/>
          <w:sz w:val="36"/>
        </w:rPr>
        <w:t>华孚时尚股份有限公司</w:t>
      </w:r>
    </w:p>
    <w:p>
      <w:pPr>
        <w:jc w:val="center"/>
        <w:outlineLvl w:val="0"/>
        <w:rPr>
          <w:rFonts w:hint="eastAsia" w:ascii="宋体" w:hAnsi="宋体" w:eastAsia="宋体" w:cs="宋体"/>
          <w:b/>
          <w:bCs/>
          <w:sz w:val="36"/>
        </w:rPr>
      </w:pPr>
      <w:r>
        <w:rPr>
          <w:rFonts w:hint="eastAsia" w:ascii="宋体" w:hAnsi="宋体" w:eastAsia="宋体" w:cs="宋体"/>
          <w:b/>
          <w:bCs/>
          <w:sz w:val="36"/>
          <w:lang w:eastAsia="zh-CN"/>
        </w:rPr>
        <w:t>2023年</w:t>
      </w:r>
      <w:r>
        <w:rPr>
          <w:rFonts w:hint="eastAsia" w:ascii="宋体" w:hAnsi="宋体" w:cs="宋体"/>
          <w:b/>
          <w:bCs/>
          <w:sz w:val="36"/>
          <w:lang w:eastAsia="zh-CN"/>
        </w:rPr>
        <w:t>第二次</w:t>
      </w:r>
      <w:r>
        <w:rPr>
          <w:rFonts w:hint="eastAsia" w:ascii="宋体" w:hAnsi="宋体" w:eastAsia="宋体" w:cs="宋体"/>
          <w:b/>
          <w:bCs/>
          <w:sz w:val="36"/>
          <w:lang w:eastAsia="zh-CN"/>
        </w:rPr>
        <w:t>临时</w:t>
      </w:r>
      <w:r>
        <w:rPr>
          <w:rFonts w:hint="eastAsia" w:ascii="宋体" w:hAnsi="宋体" w:eastAsia="宋体" w:cs="宋体"/>
          <w:b/>
          <w:bCs/>
          <w:sz w:val="36"/>
        </w:rPr>
        <w:t>股东大会决议公告</w:t>
      </w:r>
    </w:p>
    <w:p>
      <w:pPr>
        <w:spacing w:line="400" w:lineRule="exact"/>
        <w:ind w:left="284" w:firstLine="40" w:firstLineChars="201"/>
        <w:rPr>
          <w:rFonts w:hint="eastAsia" w:ascii="宋体" w:hAnsi="宋体" w:eastAsia="宋体" w:cs="宋体"/>
          <w:sz w:val="2"/>
        </w:rPr>
      </w:pPr>
    </w:p>
    <w:p>
      <w:pPr>
        <w:spacing w:line="400" w:lineRule="exact"/>
        <w:ind w:left="284" w:firstLine="482" w:firstLineChars="201"/>
        <w:rPr>
          <w:rFonts w:hint="eastAsia" w:ascii="宋体" w:hAnsi="宋体" w:eastAsia="宋体" w:cs="宋体"/>
          <w:sz w:val="24"/>
        </w:rPr>
      </w:pPr>
      <w:r>
        <w:rPr>
          <w:rFonts w:hint="eastAsia" w:ascii="宋体" w:hAnsi="宋体" w:eastAsia="宋体" w:cs="宋体"/>
          <w:sz w:val="24"/>
        </w:rPr>
        <w:t>本公司及董事会全体成员保证信息披露的内容真实、准确、完整，没有虚假记载、误导性陈述或重大遗漏。</w:t>
      </w:r>
    </w:p>
    <w:p>
      <w:pPr>
        <w:spacing w:line="480" w:lineRule="exact"/>
        <w:ind w:left="559"/>
        <w:rPr>
          <w:rFonts w:hint="eastAsia" w:ascii="宋体" w:hAnsi="宋体" w:eastAsia="宋体" w:cs="宋体"/>
          <w:b/>
          <w:bCs/>
          <w:sz w:val="24"/>
        </w:rPr>
      </w:pPr>
      <w:r>
        <w:rPr>
          <w:rFonts w:hint="eastAsia" w:ascii="宋体" w:hAnsi="宋体" w:eastAsia="宋体" w:cs="宋体"/>
          <w:b/>
          <w:bCs/>
          <w:sz w:val="24"/>
        </w:rPr>
        <w:t>重要提示：</w:t>
      </w:r>
    </w:p>
    <w:p>
      <w:pPr>
        <w:spacing w:line="480" w:lineRule="exact"/>
        <w:ind w:left="-27" w:leftChars="-13" w:firstLine="448" w:firstLineChars="187"/>
        <w:rPr>
          <w:rFonts w:hint="eastAsia" w:ascii="宋体" w:hAnsi="宋体" w:eastAsia="宋体" w:cs="宋体"/>
          <w:sz w:val="24"/>
        </w:rPr>
      </w:pPr>
      <w:r>
        <w:rPr>
          <w:rFonts w:hint="eastAsia" w:ascii="宋体" w:hAnsi="宋体" w:eastAsia="宋体" w:cs="宋体"/>
          <w:sz w:val="24"/>
        </w:rPr>
        <w:t>1、本次股东大会没有出现否决提案的情况；</w:t>
      </w:r>
    </w:p>
    <w:p>
      <w:pPr>
        <w:spacing w:line="480" w:lineRule="exact"/>
        <w:ind w:left="-27" w:leftChars="-13" w:firstLine="448" w:firstLineChars="187"/>
        <w:rPr>
          <w:rFonts w:hint="eastAsia" w:ascii="宋体" w:hAnsi="宋体" w:eastAsia="宋体" w:cs="宋体"/>
          <w:sz w:val="24"/>
        </w:rPr>
      </w:pPr>
      <w:r>
        <w:rPr>
          <w:rFonts w:hint="eastAsia" w:ascii="宋体" w:hAnsi="宋体" w:eastAsia="宋体" w:cs="宋体"/>
          <w:sz w:val="24"/>
        </w:rPr>
        <w:t xml:space="preserve">2、本次股东大会不涉及变更以往股东大会已通过的决议； </w:t>
      </w:r>
    </w:p>
    <w:p>
      <w:pPr>
        <w:spacing w:line="480" w:lineRule="exact"/>
        <w:ind w:left="-132" w:leftChars="-63" w:firstLine="568" w:firstLineChars="237"/>
        <w:rPr>
          <w:rFonts w:hint="eastAsia" w:ascii="宋体" w:hAnsi="宋体" w:eastAsia="宋体" w:cs="宋体"/>
          <w:sz w:val="24"/>
        </w:rPr>
      </w:pPr>
      <w:r>
        <w:rPr>
          <w:rFonts w:hint="eastAsia" w:ascii="宋体" w:hAnsi="宋体" w:eastAsia="宋体" w:cs="宋体"/>
          <w:sz w:val="24"/>
        </w:rPr>
        <w:t>3、本次股东大会以现场投票和网络投票相结合的方式召开。</w:t>
      </w:r>
    </w:p>
    <w:p>
      <w:pPr>
        <w:numPr>
          <w:ilvl w:val="0"/>
          <w:numId w:val="1"/>
        </w:num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会议召开和出席情况</w:t>
      </w:r>
    </w:p>
    <w:p>
      <w:pPr>
        <w:spacing w:line="5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华孚时尚股份有限公司（以下简称“公司”或“本公司”）</w:t>
      </w:r>
      <w:r>
        <w:rPr>
          <w:rFonts w:hint="eastAsia" w:ascii="宋体" w:hAnsi="宋体" w:eastAsia="宋体" w:cs="宋体"/>
          <w:sz w:val="24"/>
          <w:highlight w:val="none"/>
          <w:lang w:eastAsia="zh-CN"/>
        </w:rPr>
        <w:t>2023年</w:t>
      </w:r>
      <w:r>
        <w:rPr>
          <w:rFonts w:hint="eastAsia" w:ascii="宋体" w:hAnsi="宋体" w:cs="宋体"/>
          <w:sz w:val="24"/>
          <w:highlight w:val="none"/>
          <w:lang w:eastAsia="zh-CN"/>
        </w:rPr>
        <w:t>第二次</w:t>
      </w:r>
      <w:r>
        <w:rPr>
          <w:rFonts w:hint="eastAsia" w:ascii="宋体" w:hAnsi="宋体" w:eastAsia="宋体" w:cs="宋体"/>
          <w:sz w:val="24"/>
          <w:highlight w:val="none"/>
          <w:lang w:eastAsia="zh-CN"/>
        </w:rPr>
        <w:t>临时</w:t>
      </w:r>
      <w:r>
        <w:rPr>
          <w:rFonts w:hint="eastAsia" w:ascii="宋体" w:hAnsi="宋体" w:eastAsia="宋体" w:cs="宋体"/>
          <w:sz w:val="24"/>
          <w:highlight w:val="none"/>
        </w:rPr>
        <w:t>股东大会以现场投票及网络投票相结合的方式召开。</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（一）召开时间：</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1、现场会议时间：202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eastAsia="zh-CN"/>
        </w:rPr>
        <w:t>12月22日</w:t>
      </w:r>
      <w:r>
        <w:rPr>
          <w:rFonts w:hint="eastAsia" w:ascii="宋体" w:hAnsi="宋体" w:eastAsia="宋体" w:cs="宋体"/>
          <w:sz w:val="24"/>
          <w:highlight w:val="none"/>
        </w:rPr>
        <w:t>（星期</w:t>
      </w:r>
      <w:r>
        <w:rPr>
          <w:rFonts w:hint="eastAsia" w:ascii="宋体" w:hAnsi="宋体" w:cs="宋体"/>
          <w:sz w:val="24"/>
          <w:highlight w:val="none"/>
          <w:lang w:eastAsia="zh-CN"/>
        </w:rPr>
        <w:t>五</w:t>
      </w:r>
      <w:r>
        <w:rPr>
          <w:rFonts w:hint="eastAsia" w:ascii="宋体" w:hAnsi="宋体" w:eastAsia="宋体" w:cs="宋体"/>
          <w:sz w:val="24"/>
          <w:highlight w:val="none"/>
        </w:rPr>
        <w:t>）下午14:30-16:00。</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2、网络投票时间：202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eastAsia="zh-CN"/>
        </w:rPr>
        <w:t>12月22日</w:t>
      </w:r>
      <w:r>
        <w:rPr>
          <w:rFonts w:hint="eastAsia" w:ascii="宋体" w:hAnsi="宋体" w:eastAsia="宋体" w:cs="宋体"/>
          <w:sz w:val="24"/>
          <w:highlight w:val="none"/>
        </w:rPr>
        <w:t>。其中，通过深圳证券交易所交易系统进行网络投票的具体时间为：202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eastAsia="zh-CN"/>
        </w:rPr>
        <w:t>12月22日</w:t>
      </w:r>
      <w:r>
        <w:rPr>
          <w:rFonts w:hint="eastAsia" w:ascii="宋体" w:hAnsi="宋体" w:eastAsia="宋体" w:cs="宋体"/>
          <w:sz w:val="24"/>
          <w:highlight w:val="none"/>
        </w:rPr>
        <w:t>9：15-9：25、9:30－11:30和13:00－15:00；通过深圳证券交易所互联网投票系统投票的具体时间为：202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eastAsia="zh-CN"/>
        </w:rPr>
        <w:t>12月22日</w:t>
      </w:r>
      <w:r>
        <w:rPr>
          <w:rFonts w:hint="eastAsia" w:ascii="宋体" w:hAnsi="宋体" w:eastAsia="宋体" w:cs="宋体"/>
          <w:sz w:val="24"/>
          <w:highlight w:val="none"/>
        </w:rPr>
        <w:t>9:15－15:00期间的任意时间；</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（二）现场会议召开地点：广东省深圳市福田区市花路5号长富金茂大厦59楼会议室。</w:t>
      </w:r>
    </w:p>
    <w:p>
      <w:pPr>
        <w:spacing w:line="5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出席本次股东大会现场会议的股东共3名，所代表股份712,687,762股，占公司有表决权总股份的41.9060%；通过深圳证券交易所交易系统和互联网投票系统进行网络投票的股东（代理人）共</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名，</w:t>
      </w:r>
      <w:r>
        <w:rPr>
          <w:rFonts w:hint="eastAsia" w:ascii="宋体" w:hAnsi="宋体" w:eastAsia="宋体" w:cs="Times New Roman"/>
          <w:sz w:val="24"/>
          <w:highlight w:val="none"/>
          <w:lang w:eastAsia="zh-CN"/>
        </w:rPr>
        <w:t>代表股份18,775,811股，占上市公司总股份的1.1040％。</w:t>
      </w:r>
      <w:r>
        <w:rPr>
          <w:rFonts w:hint="eastAsia" w:ascii="宋体" w:hAnsi="宋体" w:eastAsia="宋体" w:cs="Times New Roman"/>
          <w:sz w:val="24"/>
          <w:highlight w:val="none"/>
        </w:rPr>
        <w:t>通过现场和网络出席本次股东大会的股东共</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名,</w:t>
      </w:r>
      <w:r>
        <w:rPr>
          <w:rFonts w:hint="eastAsia" w:ascii="宋体" w:hAnsi="宋体" w:eastAsia="宋体" w:cs="Times New Roman"/>
          <w:sz w:val="24"/>
          <w:highlight w:val="none"/>
          <w:lang w:eastAsia="zh-CN"/>
        </w:rPr>
        <w:t>代表股份731,463,573股，占上市公司总股份的43.0100％。</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本次股东大会由公司董事会召集，</w:t>
      </w:r>
      <w:r>
        <w:rPr>
          <w:rFonts w:hint="eastAsia" w:ascii="宋体" w:hAnsi="宋体" w:eastAsia="宋体" w:cs="宋体"/>
          <w:sz w:val="24"/>
          <w:highlight w:val="none"/>
          <w:lang w:eastAsia="zh-CN"/>
        </w:rPr>
        <w:t>董事长孙伟挺</w:t>
      </w:r>
      <w:r>
        <w:rPr>
          <w:rFonts w:hint="eastAsia" w:ascii="宋体" w:hAnsi="宋体" w:eastAsia="宋体" w:cs="宋体"/>
          <w:sz w:val="24"/>
          <w:highlight w:val="none"/>
        </w:rPr>
        <w:t>先生主持会议；公司董事、监事及董事会秘书出席会议，鉴证律师对本次会议进行了鉴证。本次会议的召集、召开与表决程序符合《中华人民共和国公司法》及《公司章程》的有关规定。</w:t>
      </w:r>
    </w:p>
    <w:p>
      <w:pPr>
        <w:numPr>
          <w:ilvl w:val="0"/>
          <w:numId w:val="1"/>
        </w:num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提案审议和表决情况</w:t>
      </w:r>
    </w:p>
    <w:p>
      <w:pPr>
        <w:pStyle w:val="5"/>
        <w:spacing w:line="5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本次股东大会无否决、新增</w:t>
      </w:r>
      <w:r>
        <w:rPr>
          <w:rFonts w:hint="eastAsia" w:ascii="宋体" w:hAnsi="宋体" w:eastAsia="宋体" w:cs="宋体"/>
          <w:sz w:val="24"/>
          <w:highlight w:val="none"/>
          <w:lang w:eastAsia="zh-CN"/>
        </w:rPr>
        <w:t>及</w:t>
      </w:r>
      <w:r>
        <w:rPr>
          <w:rFonts w:hint="eastAsia" w:ascii="宋体" w:hAnsi="宋体" w:eastAsia="宋体" w:cs="宋体"/>
          <w:sz w:val="24"/>
          <w:highlight w:val="none"/>
        </w:rPr>
        <w:t>修改提案的情况</w:t>
      </w:r>
      <w:r>
        <w:rPr>
          <w:rFonts w:hint="eastAsia" w:ascii="宋体" w:hAnsi="宋体" w:eastAsia="宋体" w:cs="宋体"/>
          <w:sz w:val="24"/>
          <w:highlight w:val="none"/>
          <w:lang w:eastAsia="zh-CN"/>
        </w:rPr>
        <w:t>，本次股东</w:t>
      </w:r>
      <w:r>
        <w:rPr>
          <w:rFonts w:hint="eastAsia" w:ascii="宋体" w:hAnsi="宋体" w:eastAsia="宋体" w:cs="宋体"/>
          <w:sz w:val="24"/>
          <w:highlight w:val="none"/>
        </w:rPr>
        <w:t>大会以现场投票和网络投票相结合的方式</w:t>
      </w:r>
      <w:r>
        <w:rPr>
          <w:rFonts w:hint="eastAsia" w:ascii="宋体" w:hAnsi="宋体" w:eastAsia="宋体" w:cs="宋体"/>
          <w:sz w:val="24"/>
          <w:highlight w:val="none"/>
          <w:lang w:eastAsia="zh-CN"/>
        </w:rPr>
        <w:t>进行，会议</w:t>
      </w:r>
      <w:r>
        <w:rPr>
          <w:rFonts w:hint="eastAsia" w:ascii="宋体" w:hAnsi="宋体" w:eastAsia="宋体" w:cs="宋体"/>
          <w:sz w:val="24"/>
          <w:highlight w:val="none"/>
        </w:rPr>
        <w:t>审议通过了以下议案：</w:t>
      </w:r>
    </w:p>
    <w:p>
      <w:pPr>
        <w:pStyle w:val="5"/>
        <w:spacing w:line="50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bCs/>
          <w:sz w:val="24"/>
          <w:highlight w:val="none"/>
        </w:rPr>
        <w:t>审议《</w:t>
      </w:r>
      <w:r>
        <w:rPr>
          <w:rFonts w:hint="eastAsia" w:ascii="宋体" w:hAnsi="宋体" w:eastAsia="宋体" w:cs="宋体"/>
          <w:b/>
          <w:bCs/>
          <w:sz w:val="24"/>
          <w:highlight w:val="none"/>
          <w:lang w:eastAsia="zh-CN"/>
        </w:rPr>
        <w:t>关于拟变更</w:t>
      </w:r>
      <w:r>
        <w:rPr>
          <w:rFonts w:hint="eastAsia" w:ascii="宋体" w:hAnsi="宋体" w:eastAsia="宋体" w:cs="宋体"/>
          <w:b/>
          <w:bCs/>
          <w:sz w:val="24"/>
          <w:highlight w:val="none"/>
          <w:lang w:val="en-US" w:eastAsia="zh-CN"/>
        </w:rPr>
        <w:t>2023年度会计师事务所的议案</w:t>
      </w:r>
      <w:r>
        <w:rPr>
          <w:rFonts w:hint="eastAsia" w:ascii="宋体" w:hAnsi="宋体" w:eastAsia="宋体" w:cs="宋体"/>
          <w:b/>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表决情况：同意731,463,573股，占出席会议所有股东所持股份的100.0000％；反对0股，占出席会议所有股东所持股份的0.0000％；弃权0股（其中，因未投票默认弃权0股），占出席会议所有股东所持股份的0.0000％。审议通过。</w:t>
      </w:r>
    </w:p>
    <w:p>
      <w:pPr>
        <w:spacing w:line="480" w:lineRule="exact"/>
        <w:ind w:firstLine="470" w:firstLineChars="19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股东总表决情况：同意18,775,811股，占出席会议的中小股东所持股份的100.0000％；反对0股，占出席会议的中小股东所持股份的0.0000％；弃权0股（其中，因未投票默认弃权0股），占出席会议的中小股东所持股份的0.0000％。</w:t>
      </w:r>
    </w:p>
    <w:p>
      <w:pPr>
        <w:spacing w:line="480" w:lineRule="exact"/>
        <w:ind w:firstLine="472" w:firstLineChars="196"/>
        <w:rPr>
          <w:rStyle w:val="23"/>
          <w:rFonts w:hint="eastAsia" w:ascii="宋体" w:hAnsi="宋体" w:eastAsia="宋体" w:cs="宋体"/>
          <w:b/>
          <w:bCs/>
          <w:sz w:val="24"/>
        </w:rPr>
      </w:pPr>
      <w:bookmarkStart w:id="0" w:name="_GoBack"/>
      <w:bookmarkEnd w:id="0"/>
      <w:r>
        <w:rPr>
          <w:rStyle w:val="23"/>
          <w:rFonts w:hint="eastAsia" w:ascii="宋体" w:hAnsi="宋体" w:eastAsia="宋体" w:cs="宋体"/>
          <w:b/>
          <w:bCs/>
          <w:sz w:val="24"/>
        </w:rPr>
        <w:t>三、律师出具的法律意见</w:t>
      </w:r>
    </w:p>
    <w:p>
      <w:pPr>
        <w:spacing w:line="480" w:lineRule="exact"/>
        <w:outlineLvl w:val="0"/>
        <w:rPr>
          <w:rFonts w:hint="eastAsia" w:ascii="宋体" w:hAnsi="宋体" w:eastAsia="宋体" w:cs="宋体"/>
          <w:sz w:val="24"/>
        </w:rPr>
      </w:pPr>
      <w:r>
        <w:rPr>
          <w:rFonts w:hint="eastAsia" w:ascii="宋体" w:hAnsi="宋体" w:eastAsia="宋体" w:cs="宋体"/>
          <w:sz w:val="24"/>
        </w:rPr>
        <w:t xml:space="preserve">    华商林李黎（前海）联营律师事务所</w:t>
      </w:r>
      <w:r>
        <w:rPr>
          <w:rFonts w:hint="eastAsia" w:ascii="宋体" w:hAnsi="宋体" w:eastAsia="宋体" w:cs="宋体"/>
          <w:sz w:val="24"/>
          <w:lang w:eastAsia="zh-CN"/>
        </w:rPr>
        <w:t>曾卓</w:t>
      </w:r>
      <w:r>
        <w:rPr>
          <w:rFonts w:hint="eastAsia" w:ascii="宋体" w:hAnsi="宋体" w:eastAsia="宋体" w:cs="宋体"/>
          <w:sz w:val="24"/>
        </w:rPr>
        <w:t>律师、</w:t>
      </w:r>
      <w:r>
        <w:rPr>
          <w:rFonts w:hint="eastAsia" w:ascii="宋体" w:hAnsi="宋体" w:eastAsia="宋体" w:cs="宋体"/>
          <w:sz w:val="24"/>
          <w:szCs w:val="24"/>
          <w:lang w:eastAsia="zh-CN"/>
        </w:rPr>
        <w:t>陈龙</w:t>
      </w:r>
      <w:r>
        <w:rPr>
          <w:rFonts w:hint="eastAsia" w:ascii="宋体" w:hAnsi="宋体" w:eastAsia="宋体" w:cs="宋体"/>
          <w:sz w:val="24"/>
        </w:rPr>
        <w:t>律师对本次股东大会进行了见证，并出具了《法律意见书》。</w:t>
      </w:r>
    </w:p>
    <w:p>
      <w:pPr>
        <w:spacing w:line="480" w:lineRule="exact"/>
        <w:outlineLvl w:val="0"/>
        <w:rPr>
          <w:rFonts w:hint="eastAsia" w:ascii="宋体" w:hAnsi="宋体" w:eastAsia="宋体" w:cs="宋体"/>
          <w:sz w:val="24"/>
        </w:rPr>
      </w:pPr>
      <w:r>
        <w:rPr>
          <w:rFonts w:hint="eastAsia" w:ascii="宋体" w:hAnsi="宋体" w:eastAsia="宋体" w:cs="宋体"/>
          <w:sz w:val="24"/>
        </w:rPr>
        <w:t xml:space="preserve">    该法律意见书认为：公司本次股东大会召集和召开程序、出席会议人员主体资格、会议表决程序、表决结果以及形成的会议决议均符合《公司法》等法律、法规、规范性文件以及《公司章程》的相关规定，合法有效。</w:t>
      </w:r>
    </w:p>
    <w:p>
      <w:pPr>
        <w:spacing w:line="480" w:lineRule="exact"/>
        <w:ind w:left="559"/>
        <w:outlineLvl w:val="0"/>
        <w:rPr>
          <w:rFonts w:hint="eastAsia" w:ascii="宋体" w:hAnsi="宋体" w:eastAsia="宋体" w:cs="宋体"/>
          <w:b/>
          <w:bCs/>
          <w:sz w:val="24"/>
        </w:rPr>
      </w:pPr>
      <w:r>
        <w:rPr>
          <w:rFonts w:hint="eastAsia" w:ascii="宋体" w:hAnsi="宋体" w:eastAsia="宋体" w:cs="宋体"/>
          <w:b/>
          <w:bCs/>
          <w:sz w:val="24"/>
        </w:rPr>
        <w:t>四、备查文件</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2023年</w:t>
      </w:r>
      <w:r>
        <w:rPr>
          <w:rFonts w:hint="eastAsia" w:ascii="宋体" w:hAnsi="宋体" w:cs="宋体"/>
          <w:sz w:val="24"/>
          <w:lang w:eastAsia="zh-CN"/>
        </w:rPr>
        <w:t>第二次</w:t>
      </w:r>
      <w:r>
        <w:rPr>
          <w:rFonts w:hint="eastAsia" w:ascii="宋体" w:hAnsi="宋体" w:eastAsia="宋体" w:cs="宋体"/>
          <w:sz w:val="24"/>
          <w:lang w:eastAsia="zh-CN"/>
        </w:rPr>
        <w:t>临时</w:t>
      </w:r>
      <w:r>
        <w:rPr>
          <w:rFonts w:hint="eastAsia" w:ascii="宋体" w:hAnsi="宋体" w:eastAsia="宋体" w:cs="宋体"/>
          <w:sz w:val="24"/>
        </w:rPr>
        <w:t>股东大会决议；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2、法律意见书。</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特此公告。</w:t>
      </w:r>
    </w:p>
    <w:p>
      <w:pPr>
        <w:spacing w:line="480" w:lineRule="exact"/>
        <w:ind w:firstLine="3840" w:firstLineChars="1600"/>
        <w:jc w:val="right"/>
        <w:rPr>
          <w:rFonts w:hint="eastAsia" w:ascii="宋体" w:hAnsi="宋体" w:eastAsia="宋体" w:cs="宋体"/>
          <w:sz w:val="24"/>
        </w:rPr>
      </w:pPr>
      <w:r>
        <w:rPr>
          <w:rFonts w:hint="eastAsia" w:ascii="宋体" w:hAnsi="宋体" w:eastAsia="宋体" w:cs="宋体"/>
          <w:sz w:val="24"/>
        </w:rPr>
        <w:t>华孚时尚股份有限公司董事会</w:t>
      </w:r>
    </w:p>
    <w:p>
      <w:pPr>
        <w:spacing w:line="480" w:lineRule="exact"/>
        <w:ind w:firstLine="720" w:firstLineChars="300"/>
        <w:jc w:val="right"/>
        <w:rPr>
          <w:rFonts w:ascii="宋体" w:hAnsi="宋体"/>
          <w:bCs/>
          <w:sz w:val="24"/>
        </w:rPr>
      </w:pPr>
      <w:r>
        <w:rPr>
          <w:rFonts w:hint="eastAsia" w:ascii="宋体" w:hAnsi="宋体" w:eastAsia="宋体" w:cs="宋体"/>
          <w:sz w:val="24"/>
        </w:rPr>
        <w:t>　　                                  二〇二</w:t>
      </w:r>
      <w:r>
        <w:rPr>
          <w:rFonts w:hint="eastAsia" w:ascii="宋体" w:hAnsi="宋体" w:eastAsia="宋体" w:cs="宋体"/>
          <w:sz w:val="24"/>
          <w:lang w:eastAsia="zh-CN"/>
        </w:rPr>
        <w:t>三</w:t>
      </w:r>
      <w:r>
        <w:rPr>
          <w:rFonts w:hint="eastAsia" w:ascii="宋体" w:hAnsi="宋体" w:eastAsia="宋体" w:cs="宋体"/>
          <w:sz w:val="24"/>
        </w:rPr>
        <w:t>年</w:t>
      </w:r>
      <w:r>
        <w:rPr>
          <w:rFonts w:hint="eastAsia" w:ascii="宋体" w:hAnsi="宋体" w:eastAsia="宋体" w:cs="宋体"/>
          <w:sz w:val="24"/>
          <w:lang w:eastAsia="zh-CN"/>
        </w:rPr>
        <w:t>十</w:t>
      </w:r>
      <w:r>
        <w:rPr>
          <w:rFonts w:hint="eastAsia" w:ascii="宋体" w:hAnsi="宋体" w:cs="宋体"/>
          <w:sz w:val="24"/>
          <w:lang w:eastAsia="zh-CN"/>
        </w:rPr>
        <w:t>二</w:t>
      </w:r>
      <w:r>
        <w:rPr>
          <w:rFonts w:hint="eastAsia" w:ascii="宋体" w:hAnsi="宋体" w:eastAsia="宋体" w:cs="宋体"/>
          <w:sz w:val="24"/>
        </w:rPr>
        <w:t>月</w:t>
      </w:r>
      <w:r>
        <w:rPr>
          <w:rFonts w:hint="eastAsia" w:ascii="宋体" w:hAnsi="宋体" w:cs="宋体"/>
          <w:sz w:val="24"/>
          <w:lang w:eastAsia="zh-CN"/>
        </w:rPr>
        <w:t>二十三</w:t>
      </w:r>
      <w:r>
        <w:rPr>
          <w:rFonts w:hint="eastAsia" w:ascii="宋体" w:hAnsi="宋体" w:eastAsia="宋体" w:cs="宋体"/>
          <w:sz w:val="24"/>
        </w:rPr>
        <w:t>日</w:t>
      </w:r>
    </w:p>
    <w:sectPr>
      <w:footerReference r:id="rId3" w:type="default"/>
      <w:footerReference r:id="rId4" w:type="even"/>
      <w:pgSz w:w="11906" w:h="16838"/>
      <w:pgMar w:top="1134" w:right="1531" w:bottom="709" w:left="1531" w:header="1418" w:footer="96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02A46"/>
    <w:multiLevelType w:val="multilevel"/>
    <w:tmpl w:val="6C902A46"/>
    <w:lvl w:ilvl="0" w:tentative="0">
      <w:start w:val="1"/>
      <w:numFmt w:val="japaneseCounting"/>
      <w:lvlText w:val="%1、"/>
      <w:lvlJc w:val="left"/>
      <w:pPr>
        <w:tabs>
          <w:tab w:val="left" w:pos="1279"/>
        </w:tabs>
        <w:ind w:left="1279" w:hanging="720"/>
      </w:pPr>
      <w:rPr>
        <w:rFonts w:hint="eastAsia"/>
      </w:rPr>
    </w:lvl>
    <w:lvl w:ilvl="1" w:tentative="0">
      <w:start w:val="1"/>
      <w:numFmt w:val="decimal"/>
      <w:lvlText w:val="%2、"/>
      <w:lvlJc w:val="left"/>
      <w:pPr>
        <w:tabs>
          <w:tab w:val="left" w:pos="1699"/>
        </w:tabs>
        <w:ind w:left="1699" w:hanging="720"/>
      </w:pPr>
      <w:rPr>
        <w:rFonts w:hint="eastAsia"/>
      </w:rPr>
    </w:lvl>
    <w:lvl w:ilvl="2" w:tentative="0">
      <w:start w:val="1"/>
      <w:numFmt w:val="lowerRoman"/>
      <w:lvlText w:val="%3."/>
      <w:lvlJc w:val="right"/>
      <w:pPr>
        <w:tabs>
          <w:tab w:val="left" w:pos="1819"/>
        </w:tabs>
        <w:ind w:left="1819" w:hanging="420"/>
      </w:pPr>
    </w:lvl>
    <w:lvl w:ilvl="3" w:tentative="0">
      <w:start w:val="1"/>
      <w:numFmt w:val="decimal"/>
      <w:lvlText w:val="%4."/>
      <w:lvlJc w:val="left"/>
      <w:pPr>
        <w:tabs>
          <w:tab w:val="left" w:pos="2239"/>
        </w:tabs>
        <w:ind w:left="2239" w:hanging="420"/>
      </w:pPr>
    </w:lvl>
    <w:lvl w:ilvl="4" w:tentative="0">
      <w:start w:val="1"/>
      <w:numFmt w:val="lowerLetter"/>
      <w:lvlText w:val="%5)"/>
      <w:lvlJc w:val="left"/>
      <w:pPr>
        <w:tabs>
          <w:tab w:val="left" w:pos="2659"/>
        </w:tabs>
        <w:ind w:left="2659" w:hanging="420"/>
      </w:pPr>
    </w:lvl>
    <w:lvl w:ilvl="5" w:tentative="0">
      <w:start w:val="1"/>
      <w:numFmt w:val="lowerRoman"/>
      <w:lvlText w:val="%6."/>
      <w:lvlJc w:val="right"/>
      <w:pPr>
        <w:tabs>
          <w:tab w:val="left" w:pos="3079"/>
        </w:tabs>
        <w:ind w:left="3079" w:hanging="420"/>
      </w:pPr>
    </w:lvl>
    <w:lvl w:ilvl="6" w:tentative="0">
      <w:start w:val="1"/>
      <w:numFmt w:val="decimal"/>
      <w:lvlText w:val="%7."/>
      <w:lvlJc w:val="left"/>
      <w:pPr>
        <w:tabs>
          <w:tab w:val="left" w:pos="3499"/>
        </w:tabs>
        <w:ind w:left="3499" w:hanging="420"/>
      </w:pPr>
    </w:lvl>
    <w:lvl w:ilvl="7" w:tentative="0">
      <w:start w:val="1"/>
      <w:numFmt w:val="lowerLetter"/>
      <w:lvlText w:val="%8)"/>
      <w:lvlJc w:val="left"/>
      <w:pPr>
        <w:tabs>
          <w:tab w:val="left" w:pos="3919"/>
        </w:tabs>
        <w:ind w:left="3919" w:hanging="420"/>
      </w:pPr>
    </w:lvl>
    <w:lvl w:ilvl="8" w:tentative="0">
      <w:start w:val="1"/>
      <w:numFmt w:val="lowerRoman"/>
      <w:lvlText w:val="%9."/>
      <w:lvlJc w:val="right"/>
      <w:pPr>
        <w:tabs>
          <w:tab w:val="left" w:pos="4339"/>
        </w:tabs>
        <w:ind w:left="43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7479B"/>
    <w:rsid w:val="00013189"/>
    <w:rsid w:val="00015D33"/>
    <w:rsid w:val="00021BB7"/>
    <w:rsid w:val="000245E0"/>
    <w:rsid w:val="000245EA"/>
    <w:rsid w:val="00026B4D"/>
    <w:rsid w:val="000303B2"/>
    <w:rsid w:val="00032BC3"/>
    <w:rsid w:val="000354D5"/>
    <w:rsid w:val="0004222B"/>
    <w:rsid w:val="00043451"/>
    <w:rsid w:val="00046E95"/>
    <w:rsid w:val="00050082"/>
    <w:rsid w:val="00052C70"/>
    <w:rsid w:val="00053FE2"/>
    <w:rsid w:val="00054A57"/>
    <w:rsid w:val="00056E98"/>
    <w:rsid w:val="00062BEB"/>
    <w:rsid w:val="00072047"/>
    <w:rsid w:val="000776DE"/>
    <w:rsid w:val="0007777B"/>
    <w:rsid w:val="00082F8C"/>
    <w:rsid w:val="00083FCE"/>
    <w:rsid w:val="00084781"/>
    <w:rsid w:val="00086821"/>
    <w:rsid w:val="00095B8B"/>
    <w:rsid w:val="00096078"/>
    <w:rsid w:val="00097BD6"/>
    <w:rsid w:val="000A032D"/>
    <w:rsid w:val="000A32C6"/>
    <w:rsid w:val="000A3D61"/>
    <w:rsid w:val="000A516D"/>
    <w:rsid w:val="000A60D0"/>
    <w:rsid w:val="000B11C1"/>
    <w:rsid w:val="000B37AB"/>
    <w:rsid w:val="000B3DBA"/>
    <w:rsid w:val="000B5F73"/>
    <w:rsid w:val="000C12DA"/>
    <w:rsid w:val="000D2669"/>
    <w:rsid w:val="000D72E9"/>
    <w:rsid w:val="000E1B9F"/>
    <w:rsid w:val="000E3605"/>
    <w:rsid w:val="000E5E5B"/>
    <w:rsid w:val="000E72AD"/>
    <w:rsid w:val="0010107F"/>
    <w:rsid w:val="00101171"/>
    <w:rsid w:val="00101F82"/>
    <w:rsid w:val="00105442"/>
    <w:rsid w:val="00113112"/>
    <w:rsid w:val="00123425"/>
    <w:rsid w:val="00124483"/>
    <w:rsid w:val="00125762"/>
    <w:rsid w:val="00132CA1"/>
    <w:rsid w:val="00136E6A"/>
    <w:rsid w:val="0013784E"/>
    <w:rsid w:val="0014132C"/>
    <w:rsid w:val="00141813"/>
    <w:rsid w:val="0014570E"/>
    <w:rsid w:val="00145B58"/>
    <w:rsid w:val="00146BA9"/>
    <w:rsid w:val="00147079"/>
    <w:rsid w:val="00163B03"/>
    <w:rsid w:val="00165E23"/>
    <w:rsid w:val="00173856"/>
    <w:rsid w:val="00176E60"/>
    <w:rsid w:val="0018256B"/>
    <w:rsid w:val="0018509F"/>
    <w:rsid w:val="00186C5C"/>
    <w:rsid w:val="00187551"/>
    <w:rsid w:val="00194FF9"/>
    <w:rsid w:val="001960C8"/>
    <w:rsid w:val="001A0182"/>
    <w:rsid w:val="001A02D2"/>
    <w:rsid w:val="001A1DC3"/>
    <w:rsid w:val="001A2FD1"/>
    <w:rsid w:val="001B0816"/>
    <w:rsid w:val="001B1107"/>
    <w:rsid w:val="001B3CDA"/>
    <w:rsid w:val="001C0FCA"/>
    <w:rsid w:val="001C22BD"/>
    <w:rsid w:val="001C741A"/>
    <w:rsid w:val="001C75D7"/>
    <w:rsid w:val="001D1F74"/>
    <w:rsid w:val="001D4637"/>
    <w:rsid w:val="001D4A7C"/>
    <w:rsid w:val="001D5BD6"/>
    <w:rsid w:val="001E08EA"/>
    <w:rsid w:val="001E34FD"/>
    <w:rsid w:val="001F258B"/>
    <w:rsid w:val="001F314D"/>
    <w:rsid w:val="001F5E62"/>
    <w:rsid w:val="00201452"/>
    <w:rsid w:val="0020734C"/>
    <w:rsid w:val="002107FC"/>
    <w:rsid w:val="00213B12"/>
    <w:rsid w:val="002204C6"/>
    <w:rsid w:val="002217CE"/>
    <w:rsid w:val="00233371"/>
    <w:rsid w:val="00242B0E"/>
    <w:rsid w:val="00265DA7"/>
    <w:rsid w:val="00272882"/>
    <w:rsid w:val="002800E3"/>
    <w:rsid w:val="002834AF"/>
    <w:rsid w:val="002863A8"/>
    <w:rsid w:val="0029046B"/>
    <w:rsid w:val="00296930"/>
    <w:rsid w:val="002A708B"/>
    <w:rsid w:val="002A7AC7"/>
    <w:rsid w:val="002B28E2"/>
    <w:rsid w:val="002B2C70"/>
    <w:rsid w:val="002B3977"/>
    <w:rsid w:val="002C07CC"/>
    <w:rsid w:val="002C087F"/>
    <w:rsid w:val="002C269D"/>
    <w:rsid w:val="002C5331"/>
    <w:rsid w:val="002C5499"/>
    <w:rsid w:val="002D02A6"/>
    <w:rsid w:val="002E0124"/>
    <w:rsid w:val="002E7B4B"/>
    <w:rsid w:val="002F0412"/>
    <w:rsid w:val="002F0668"/>
    <w:rsid w:val="002F7FED"/>
    <w:rsid w:val="00302CD8"/>
    <w:rsid w:val="0031798C"/>
    <w:rsid w:val="00320E7F"/>
    <w:rsid w:val="003235F7"/>
    <w:rsid w:val="00323BF0"/>
    <w:rsid w:val="00323CA6"/>
    <w:rsid w:val="00327221"/>
    <w:rsid w:val="00327EF6"/>
    <w:rsid w:val="00333ECC"/>
    <w:rsid w:val="0033696C"/>
    <w:rsid w:val="003444B2"/>
    <w:rsid w:val="00346360"/>
    <w:rsid w:val="00347ADC"/>
    <w:rsid w:val="00350C6B"/>
    <w:rsid w:val="003555A6"/>
    <w:rsid w:val="00356431"/>
    <w:rsid w:val="0035692F"/>
    <w:rsid w:val="00357A1A"/>
    <w:rsid w:val="003652DF"/>
    <w:rsid w:val="00380239"/>
    <w:rsid w:val="0038088B"/>
    <w:rsid w:val="003938F7"/>
    <w:rsid w:val="003944A1"/>
    <w:rsid w:val="003A0359"/>
    <w:rsid w:val="003A2363"/>
    <w:rsid w:val="003A6204"/>
    <w:rsid w:val="003B5D78"/>
    <w:rsid w:val="003B6FBE"/>
    <w:rsid w:val="003C2D18"/>
    <w:rsid w:val="003C30FA"/>
    <w:rsid w:val="003C486E"/>
    <w:rsid w:val="003C51F6"/>
    <w:rsid w:val="003C609C"/>
    <w:rsid w:val="003C6A83"/>
    <w:rsid w:val="003D4122"/>
    <w:rsid w:val="003D7A0A"/>
    <w:rsid w:val="003E0809"/>
    <w:rsid w:val="003E5AC1"/>
    <w:rsid w:val="003F344C"/>
    <w:rsid w:val="003F3BC2"/>
    <w:rsid w:val="003F49B1"/>
    <w:rsid w:val="004079DD"/>
    <w:rsid w:val="00407D54"/>
    <w:rsid w:val="00411BA4"/>
    <w:rsid w:val="0041440B"/>
    <w:rsid w:val="004146DB"/>
    <w:rsid w:val="00431730"/>
    <w:rsid w:val="0044263D"/>
    <w:rsid w:val="00443E77"/>
    <w:rsid w:val="0044458F"/>
    <w:rsid w:val="00444960"/>
    <w:rsid w:val="00445E12"/>
    <w:rsid w:val="00446DBB"/>
    <w:rsid w:val="004544D9"/>
    <w:rsid w:val="00455FEB"/>
    <w:rsid w:val="004623D7"/>
    <w:rsid w:val="004658EC"/>
    <w:rsid w:val="00467C70"/>
    <w:rsid w:val="00470F98"/>
    <w:rsid w:val="0047565E"/>
    <w:rsid w:val="00481B78"/>
    <w:rsid w:val="00482C7C"/>
    <w:rsid w:val="0048493A"/>
    <w:rsid w:val="004858F3"/>
    <w:rsid w:val="004869EA"/>
    <w:rsid w:val="00487E30"/>
    <w:rsid w:val="0049119E"/>
    <w:rsid w:val="004A43F0"/>
    <w:rsid w:val="004A62D9"/>
    <w:rsid w:val="004A6700"/>
    <w:rsid w:val="004B1890"/>
    <w:rsid w:val="004C6B66"/>
    <w:rsid w:val="004C6BB8"/>
    <w:rsid w:val="004D37AF"/>
    <w:rsid w:val="004D7D6C"/>
    <w:rsid w:val="004E028A"/>
    <w:rsid w:val="004E08ED"/>
    <w:rsid w:val="004E3660"/>
    <w:rsid w:val="004E5CC1"/>
    <w:rsid w:val="004E63CA"/>
    <w:rsid w:val="00502296"/>
    <w:rsid w:val="0050651E"/>
    <w:rsid w:val="0051048E"/>
    <w:rsid w:val="00510770"/>
    <w:rsid w:val="005129C1"/>
    <w:rsid w:val="005177D2"/>
    <w:rsid w:val="00522939"/>
    <w:rsid w:val="0052524F"/>
    <w:rsid w:val="005266BC"/>
    <w:rsid w:val="00527220"/>
    <w:rsid w:val="00527752"/>
    <w:rsid w:val="00527A88"/>
    <w:rsid w:val="00534DA8"/>
    <w:rsid w:val="00542846"/>
    <w:rsid w:val="00544107"/>
    <w:rsid w:val="00552528"/>
    <w:rsid w:val="0055563F"/>
    <w:rsid w:val="00556CD9"/>
    <w:rsid w:val="005627A7"/>
    <w:rsid w:val="00574255"/>
    <w:rsid w:val="00585496"/>
    <w:rsid w:val="0059158E"/>
    <w:rsid w:val="005B06DA"/>
    <w:rsid w:val="005B251D"/>
    <w:rsid w:val="005B6D47"/>
    <w:rsid w:val="005C2845"/>
    <w:rsid w:val="005C42CB"/>
    <w:rsid w:val="005C467C"/>
    <w:rsid w:val="005C554D"/>
    <w:rsid w:val="005C74D0"/>
    <w:rsid w:val="005C7AFA"/>
    <w:rsid w:val="005D6331"/>
    <w:rsid w:val="005D717D"/>
    <w:rsid w:val="005E3258"/>
    <w:rsid w:val="005F0409"/>
    <w:rsid w:val="005F1356"/>
    <w:rsid w:val="0061594D"/>
    <w:rsid w:val="006232CF"/>
    <w:rsid w:val="00624B7B"/>
    <w:rsid w:val="00627DA5"/>
    <w:rsid w:val="0063151C"/>
    <w:rsid w:val="006327A5"/>
    <w:rsid w:val="006331C0"/>
    <w:rsid w:val="006331CB"/>
    <w:rsid w:val="00633DAB"/>
    <w:rsid w:val="00641116"/>
    <w:rsid w:val="006424B5"/>
    <w:rsid w:val="00644375"/>
    <w:rsid w:val="00644C06"/>
    <w:rsid w:val="00650C28"/>
    <w:rsid w:val="006513C0"/>
    <w:rsid w:val="006524F7"/>
    <w:rsid w:val="00653224"/>
    <w:rsid w:val="00657008"/>
    <w:rsid w:val="0065776C"/>
    <w:rsid w:val="00660764"/>
    <w:rsid w:val="00662E93"/>
    <w:rsid w:val="00664B95"/>
    <w:rsid w:val="00673ACD"/>
    <w:rsid w:val="006770D5"/>
    <w:rsid w:val="00680AF1"/>
    <w:rsid w:val="00680B50"/>
    <w:rsid w:val="00693BEA"/>
    <w:rsid w:val="006A294E"/>
    <w:rsid w:val="006A435E"/>
    <w:rsid w:val="006A5CD7"/>
    <w:rsid w:val="006A6A41"/>
    <w:rsid w:val="006A6DA5"/>
    <w:rsid w:val="006A7D96"/>
    <w:rsid w:val="006B6F9F"/>
    <w:rsid w:val="006C0F3C"/>
    <w:rsid w:val="006C29CB"/>
    <w:rsid w:val="006C5936"/>
    <w:rsid w:val="006C62E5"/>
    <w:rsid w:val="006D4865"/>
    <w:rsid w:val="006E4BE7"/>
    <w:rsid w:val="006E4E46"/>
    <w:rsid w:val="006F0422"/>
    <w:rsid w:val="006F211C"/>
    <w:rsid w:val="006F23CB"/>
    <w:rsid w:val="006F260D"/>
    <w:rsid w:val="006F6B5A"/>
    <w:rsid w:val="007002F2"/>
    <w:rsid w:val="0070066F"/>
    <w:rsid w:val="00702E40"/>
    <w:rsid w:val="00705282"/>
    <w:rsid w:val="0071250D"/>
    <w:rsid w:val="00712B98"/>
    <w:rsid w:val="007275F0"/>
    <w:rsid w:val="007370BB"/>
    <w:rsid w:val="00743251"/>
    <w:rsid w:val="0074797B"/>
    <w:rsid w:val="007537EB"/>
    <w:rsid w:val="00757A80"/>
    <w:rsid w:val="007604A0"/>
    <w:rsid w:val="0076197F"/>
    <w:rsid w:val="00762546"/>
    <w:rsid w:val="00764044"/>
    <w:rsid w:val="0076417D"/>
    <w:rsid w:val="00771C4A"/>
    <w:rsid w:val="00773EF6"/>
    <w:rsid w:val="0078024F"/>
    <w:rsid w:val="00793B8A"/>
    <w:rsid w:val="0079685C"/>
    <w:rsid w:val="0079740E"/>
    <w:rsid w:val="007A1C92"/>
    <w:rsid w:val="007A39BA"/>
    <w:rsid w:val="007A5E24"/>
    <w:rsid w:val="007B2F45"/>
    <w:rsid w:val="007B37A4"/>
    <w:rsid w:val="007B40DE"/>
    <w:rsid w:val="007B5532"/>
    <w:rsid w:val="007B6C73"/>
    <w:rsid w:val="007B79B2"/>
    <w:rsid w:val="007C2B7B"/>
    <w:rsid w:val="007C3435"/>
    <w:rsid w:val="007C5AC6"/>
    <w:rsid w:val="007C7D04"/>
    <w:rsid w:val="007D63A4"/>
    <w:rsid w:val="007E03D8"/>
    <w:rsid w:val="007E308F"/>
    <w:rsid w:val="007E5709"/>
    <w:rsid w:val="007F0D0E"/>
    <w:rsid w:val="007F0EB3"/>
    <w:rsid w:val="007F291D"/>
    <w:rsid w:val="007F328B"/>
    <w:rsid w:val="008048CB"/>
    <w:rsid w:val="0080553B"/>
    <w:rsid w:val="00811D4E"/>
    <w:rsid w:val="00813205"/>
    <w:rsid w:val="00813C76"/>
    <w:rsid w:val="00814705"/>
    <w:rsid w:val="00815BB6"/>
    <w:rsid w:val="00816881"/>
    <w:rsid w:val="0082102A"/>
    <w:rsid w:val="008210A5"/>
    <w:rsid w:val="00821449"/>
    <w:rsid w:val="00823A9B"/>
    <w:rsid w:val="0082581F"/>
    <w:rsid w:val="008528C7"/>
    <w:rsid w:val="00852AE2"/>
    <w:rsid w:val="00863C14"/>
    <w:rsid w:val="00866469"/>
    <w:rsid w:val="00870092"/>
    <w:rsid w:val="00874623"/>
    <w:rsid w:val="00876A8F"/>
    <w:rsid w:val="00877C83"/>
    <w:rsid w:val="00881310"/>
    <w:rsid w:val="00881D37"/>
    <w:rsid w:val="00884963"/>
    <w:rsid w:val="00884B87"/>
    <w:rsid w:val="00884BCC"/>
    <w:rsid w:val="00890EE9"/>
    <w:rsid w:val="008938C7"/>
    <w:rsid w:val="00894F73"/>
    <w:rsid w:val="008A09E9"/>
    <w:rsid w:val="008B1378"/>
    <w:rsid w:val="008B38F2"/>
    <w:rsid w:val="008B5E66"/>
    <w:rsid w:val="008B7356"/>
    <w:rsid w:val="008C05F8"/>
    <w:rsid w:val="008C3750"/>
    <w:rsid w:val="008C46B5"/>
    <w:rsid w:val="008C624A"/>
    <w:rsid w:val="008D13E6"/>
    <w:rsid w:val="008D5073"/>
    <w:rsid w:val="008E1F53"/>
    <w:rsid w:val="008E4745"/>
    <w:rsid w:val="008F36B6"/>
    <w:rsid w:val="008F6546"/>
    <w:rsid w:val="009022E1"/>
    <w:rsid w:val="009072AE"/>
    <w:rsid w:val="009126CA"/>
    <w:rsid w:val="00921946"/>
    <w:rsid w:val="00927208"/>
    <w:rsid w:val="009272DD"/>
    <w:rsid w:val="00931F42"/>
    <w:rsid w:val="0093486E"/>
    <w:rsid w:val="00934D53"/>
    <w:rsid w:val="0093530F"/>
    <w:rsid w:val="00945286"/>
    <w:rsid w:val="0095141B"/>
    <w:rsid w:val="009515A7"/>
    <w:rsid w:val="009530C4"/>
    <w:rsid w:val="00953525"/>
    <w:rsid w:val="00953FB1"/>
    <w:rsid w:val="009543B1"/>
    <w:rsid w:val="00955D89"/>
    <w:rsid w:val="0096295F"/>
    <w:rsid w:val="009650DA"/>
    <w:rsid w:val="00975609"/>
    <w:rsid w:val="00976557"/>
    <w:rsid w:val="009822B2"/>
    <w:rsid w:val="00990361"/>
    <w:rsid w:val="009A5ECD"/>
    <w:rsid w:val="009B30AC"/>
    <w:rsid w:val="009B3F8A"/>
    <w:rsid w:val="009B5AE0"/>
    <w:rsid w:val="009C1931"/>
    <w:rsid w:val="009C1F29"/>
    <w:rsid w:val="009C29B9"/>
    <w:rsid w:val="009D0006"/>
    <w:rsid w:val="009E1AE5"/>
    <w:rsid w:val="009E5364"/>
    <w:rsid w:val="009F3A77"/>
    <w:rsid w:val="00A03368"/>
    <w:rsid w:val="00A07BD4"/>
    <w:rsid w:val="00A16753"/>
    <w:rsid w:val="00A318C5"/>
    <w:rsid w:val="00A31A9F"/>
    <w:rsid w:val="00A41DD6"/>
    <w:rsid w:val="00A444F6"/>
    <w:rsid w:val="00A45AC4"/>
    <w:rsid w:val="00A5535A"/>
    <w:rsid w:val="00A62C35"/>
    <w:rsid w:val="00A6422D"/>
    <w:rsid w:val="00A64D71"/>
    <w:rsid w:val="00A66341"/>
    <w:rsid w:val="00A7479B"/>
    <w:rsid w:val="00A7722A"/>
    <w:rsid w:val="00A87BE0"/>
    <w:rsid w:val="00A87C3A"/>
    <w:rsid w:val="00A90E64"/>
    <w:rsid w:val="00A931F5"/>
    <w:rsid w:val="00A95022"/>
    <w:rsid w:val="00A979D1"/>
    <w:rsid w:val="00AA213B"/>
    <w:rsid w:val="00AA4B21"/>
    <w:rsid w:val="00AB0553"/>
    <w:rsid w:val="00AC2767"/>
    <w:rsid w:val="00AD3359"/>
    <w:rsid w:val="00AD6B9D"/>
    <w:rsid w:val="00AE3B37"/>
    <w:rsid w:val="00AE5A00"/>
    <w:rsid w:val="00AF0D20"/>
    <w:rsid w:val="00AF148B"/>
    <w:rsid w:val="00AF2D4C"/>
    <w:rsid w:val="00B1289B"/>
    <w:rsid w:val="00B12EB8"/>
    <w:rsid w:val="00B155A8"/>
    <w:rsid w:val="00B160A4"/>
    <w:rsid w:val="00B237D2"/>
    <w:rsid w:val="00B3563A"/>
    <w:rsid w:val="00B43F5F"/>
    <w:rsid w:val="00B45081"/>
    <w:rsid w:val="00B452CE"/>
    <w:rsid w:val="00B55899"/>
    <w:rsid w:val="00B60658"/>
    <w:rsid w:val="00B6280A"/>
    <w:rsid w:val="00B65937"/>
    <w:rsid w:val="00B6624A"/>
    <w:rsid w:val="00B67A38"/>
    <w:rsid w:val="00B71526"/>
    <w:rsid w:val="00B75925"/>
    <w:rsid w:val="00B7725A"/>
    <w:rsid w:val="00B8134D"/>
    <w:rsid w:val="00B8467E"/>
    <w:rsid w:val="00B95CBA"/>
    <w:rsid w:val="00BA60FE"/>
    <w:rsid w:val="00BB0355"/>
    <w:rsid w:val="00BB2EEE"/>
    <w:rsid w:val="00BB3199"/>
    <w:rsid w:val="00BB42ED"/>
    <w:rsid w:val="00BB671B"/>
    <w:rsid w:val="00BC3F97"/>
    <w:rsid w:val="00BC4140"/>
    <w:rsid w:val="00BC4484"/>
    <w:rsid w:val="00BD0E2B"/>
    <w:rsid w:val="00BD1328"/>
    <w:rsid w:val="00BD45F7"/>
    <w:rsid w:val="00BD70FE"/>
    <w:rsid w:val="00BD7245"/>
    <w:rsid w:val="00BE07D8"/>
    <w:rsid w:val="00BF08DF"/>
    <w:rsid w:val="00C005CC"/>
    <w:rsid w:val="00C00EE3"/>
    <w:rsid w:val="00C0283D"/>
    <w:rsid w:val="00C02A59"/>
    <w:rsid w:val="00C0635C"/>
    <w:rsid w:val="00C337B3"/>
    <w:rsid w:val="00C34919"/>
    <w:rsid w:val="00C403A9"/>
    <w:rsid w:val="00C43959"/>
    <w:rsid w:val="00C46AA8"/>
    <w:rsid w:val="00C563EB"/>
    <w:rsid w:val="00C572FA"/>
    <w:rsid w:val="00C61C8C"/>
    <w:rsid w:val="00C661D5"/>
    <w:rsid w:val="00C70B13"/>
    <w:rsid w:val="00C7113D"/>
    <w:rsid w:val="00C742CD"/>
    <w:rsid w:val="00C8005D"/>
    <w:rsid w:val="00C8104C"/>
    <w:rsid w:val="00C84C5A"/>
    <w:rsid w:val="00C955D2"/>
    <w:rsid w:val="00C96EF6"/>
    <w:rsid w:val="00CA17CD"/>
    <w:rsid w:val="00CA62E3"/>
    <w:rsid w:val="00CA7028"/>
    <w:rsid w:val="00CA7E9F"/>
    <w:rsid w:val="00CB79E6"/>
    <w:rsid w:val="00CC17BC"/>
    <w:rsid w:val="00CC73B3"/>
    <w:rsid w:val="00CC74BA"/>
    <w:rsid w:val="00CE1FB5"/>
    <w:rsid w:val="00CE23B1"/>
    <w:rsid w:val="00CE3B35"/>
    <w:rsid w:val="00CF32EB"/>
    <w:rsid w:val="00CF4E19"/>
    <w:rsid w:val="00CF6AE1"/>
    <w:rsid w:val="00CF7676"/>
    <w:rsid w:val="00D01F00"/>
    <w:rsid w:val="00D056CE"/>
    <w:rsid w:val="00D0574C"/>
    <w:rsid w:val="00D05CF0"/>
    <w:rsid w:val="00D11950"/>
    <w:rsid w:val="00D14911"/>
    <w:rsid w:val="00D158D1"/>
    <w:rsid w:val="00D177ED"/>
    <w:rsid w:val="00D17D51"/>
    <w:rsid w:val="00D3066D"/>
    <w:rsid w:val="00D317AB"/>
    <w:rsid w:val="00D31908"/>
    <w:rsid w:val="00D327E4"/>
    <w:rsid w:val="00D41685"/>
    <w:rsid w:val="00D57165"/>
    <w:rsid w:val="00D708D1"/>
    <w:rsid w:val="00D7327B"/>
    <w:rsid w:val="00D7565B"/>
    <w:rsid w:val="00D82852"/>
    <w:rsid w:val="00D82FA4"/>
    <w:rsid w:val="00D8393D"/>
    <w:rsid w:val="00D8420F"/>
    <w:rsid w:val="00D84465"/>
    <w:rsid w:val="00DA0FA0"/>
    <w:rsid w:val="00DA139F"/>
    <w:rsid w:val="00DA1828"/>
    <w:rsid w:val="00DA1F6E"/>
    <w:rsid w:val="00DA2079"/>
    <w:rsid w:val="00DA33F9"/>
    <w:rsid w:val="00DB6484"/>
    <w:rsid w:val="00DC04AE"/>
    <w:rsid w:val="00DC6870"/>
    <w:rsid w:val="00DD218B"/>
    <w:rsid w:val="00DD39AB"/>
    <w:rsid w:val="00DD5AD3"/>
    <w:rsid w:val="00DE48A5"/>
    <w:rsid w:val="00DE4FEB"/>
    <w:rsid w:val="00DE7B20"/>
    <w:rsid w:val="00DF6B3C"/>
    <w:rsid w:val="00E034B8"/>
    <w:rsid w:val="00E07539"/>
    <w:rsid w:val="00E07E72"/>
    <w:rsid w:val="00E11911"/>
    <w:rsid w:val="00E1794E"/>
    <w:rsid w:val="00E21061"/>
    <w:rsid w:val="00E27360"/>
    <w:rsid w:val="00E37302"/>
    <w:rsid w:val="00E40598"/>
    <w:rsid w:val="00E4129B"/>
    <w:rsid w:val="00E41F46"/>
    <w:rsid w:val="00E475AE"/>
    <w:rsid w:val="00E51E79"/>
    <w:rsid w:val="00E626E2"/>
    <w:rsid w:val="00E64D5F"/>
    <w:rsid w:val="00E67F39"/>
    <w:rsid w:val="00E72CB9"/>
    <w:rsid w:val="00E75B45"/>
    <w:rsid w:val="00E762A9"/>
    <w:rsid w:val="00E86261"/>
    <w:rsid w:val="00E86853"/>
    <w:rsid w:val="00E90275"/>
    <w:rsid w:val="00E90670"/>
    <w:rsid w:val="00E91206"/>
    <w:rsid w:val="00E93CAA"/>
    <w:rsid w:val="00EA11D4"/>
    <w:rsid w:val="00EA122D"/>
    <w:rsid w:val="00EA3631"/>
    <w:rsid w:val="00EA45A6"/>
    <w:rsid w:val="00EB2BDA"/>
    <w:rsid w:val="00EB34F4"/>
    <w:rsid w:val="00EB4B9E"/>
    <w:rsid w:val="00EC61B0"/>
    <w:rsid w:val="00EC6EA1"/>
    <w:rsid w:val="00ED1831"/>
    <w:rsid w:val="00ED1CF4"/>
    <w:rsid w:val="00ED2579"/>
    <w:rsid w:val="00ED32C8"/>
    <w:rsid w:val="00ED5233"/>
    <w:rsid w:val="00ED60B3"/>
    <w:rsid w:val="00EE175F"/>
    <w:rsid w:val="00EE1787"/>
    <w:rsid w:val="00EE1F8B"/>
    <w:rsid w:val="00EF15CD"/>
    <w:rsid w:val="00EF529C"/>
    <w:rsid w:val="00EF6127"/>
    <w:rsid w:val="00F01B73"/>
    <w:rsid w:val="00F03062"/>
    <w:rsid w:val="00F06AC7"/>
    <w:rsid w:val="00F138CC"/>
    <w:rsid w:val="00F17B44"/>
    <w:rsid w:val="00F2344E"/>
    <w:rsid w:val="00F24B2C"/>
    <w:rsid w:val="00F24D7E"/>
    <w:rsid w:val="00F3095B"/>
    <w:rsid w:val="00F31343"/>
    <w:rsid w:val="00F32128"/>
    <w:rsid w:val="00F32EDD"/>
    <w:rsid w:val="00F36569"/>
    <w:rsid w:val="00F401C3"/>
    <w:rsid w:val="00F421BC"/>
    <w:rsid w:val="00F60C54"/>
    <w:rsid w:val="00F6289D"/>
    <w:rsid w:val="00F64D1C"/>
    <w:rsid w:val="00F6771C"/>
    <w:rsid w:val="00F8128D"/>
    <w:rsid w:val="00F841A7"/>
    <w:rsid w:val="00F846D7"/>
    <w:rsid w:val="00F9394E"/>
    <w:rsid w:val="00FB107C"/>
    <w:rsid w:val="00FB1429"/>
    <w:rsid w:val="00FB1765"/>
    <w:rsid w:val="00FB79F4"/>
    <w:rsid w:val="00FC05E7"/>
    <w:rsid w:val="00FC0E58"/>
    <w:rsid w:val="00FC215A"/>
    <w:rsid w:val="00FC2E2C"/>
    <w:rsid w:val="00FC679E"/>
    <w:rsid w:val="00FD103A"/>
    <w:rsid w:val="00FD29CF"/>
    <w:rsid w:val="00FD5C18"/>
    <w:rsid w:val="00FD78CA"/>
    <w:rsid w:val="00FF1891"/>
    <w:rsid w:val="00FF1E80"/>
    <w:rsid w:val="00FF35F2"/>
    <w:rsid w:val="00FF55F7"/>
    <w:rsid w:val="00FF79A2"/>
    <w:rsid w:val="0B140FFE"/>
    <w:rsid w:val="0FE642E0"/>
    <w:rsid w:val="118F0311"/>
    <w:rsid w:val="21475BA0"/>
    <w:rsid w:val="28177609"/>
    <w:rsid w:val="2895052E"/>
    <w:rsid w:val="43DB4DF7"/>
    <w:rsid w:val="544876E7"/>
    <w:rsid w:val="618620A5"/>
    <w:rsid w:val="673E3563"/>
    <w:rsid w:val="70BC3E77"/>
    <w:rsid w:val="71D60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8"/>
    <w:qFormat/>
    <w:uiPriority w:val="0"/>
    <w:pPr>
      <w:jc w:val="left"/>
    </w:pPr>
  </w:style>
  <w:style w:type="paragraph" w:styleId="4">
    <w:name w:val="Body Text Indent"/>
    <w:basedOn w:val="1"/>
    <w:qFormat/>
    <w:uiPriority w:val="0"/>
    <w:pPr>
      <w:ind w:firstLine="420"/>
    </w:pPr>
    <w:rPr>
      <w:sz w:val="28"/>
      <w:szCs w:val="28"/>
    </w:rPr>
  </w:style>
  <w:style w:type="paragraph" w:styleId="5">
    <w:name w:val="Body Text Indent 2"/>
    <w:basedOn w:val="1"/>
    <w:link w:val="19"/>
    <w:qFormat/>
    <w:uiPriority w:val="0"/>
    <w:pPr>
      <w:ind w:firstLine="560" w:firstLineChars="200"/>
    </w:pPr>
    <w:rPr>
      <w:sz w:val="28"/>
    </w:rPr>
  </w:style>
  <w:style w:type="paragraph" w:styleId="6">
    <w:name w:val="Balloon Text"/>
    <w:basedOn w:val="1"/>
    <w:link w:val="20"/>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60" w:lineRule="exact"/>
      <w:ind w:firstLine="562" w:firstLineChars="200"/>
    </w:pPr>
    <w:rPr>
      <w:b/>
      <w:bCs/>
      <w:sz w:val="2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2"/>
    <w:qFormat/>
    <w:uiPriority w:val="0"/>
    <w:rPr>
      <w:b/>
      <w:bCs/>
    </w:rPr>
  </w:style>
  <w:style w:type="character" w:styleId="14">
    <w:name w:val="page number"/>
    <w:basedOn w:val="13"/>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Char"/>
    <w:link w:val="3"/>
    <w:qFormat/>
    <w:uiPriority w:val="0"/>
    <w:rPr>
      <w:kern w:val="2"/>
      <w:sz w:val="21"/>
      <w:szCs w:val="24"/>
    </w:rPr>
  </w:style>
  <w:style w:type="character" w:customStyle="1" w:styleId="19">
    <w:name w:val="正文文本缩进 2 Char"/>
    <w:link w:val="5"/>
    <w:qFormat/>
    <w:uiPriority w:val="0"/>
    <w:rPr>
      <w:kern w:val="2"/>
      <w:sz w:val="28"/>
      <w:szCs w:val="24"/>
    </w:rPr>
  </w:style>
  <w:style w:type="character" w:customStyle="1" w:styleId="20">
    <w:name w:val="批注框文本 Char"/>
    <w:link w:val="6"/>
    <w:qFormat/>
    <w:uiPriority w:val="0"/>
    <w:rPr>
      <w:kern w:val="2"/>
      <w:sz w:val="18"/>
      <w:szCs w:val="18"/>
    </w:rPr>
  </w:style>
  <w:style w:type="character" w:customStyle="1" w:styleId="21">
    <w:name w:val="页脚 Char"/>
    <w:link w:val="7"/>
    <w:uiPriority w:val="99"/>
    <w:rPr>
      <w:kern w:val="2"/>
      <w:sz w:val="18"/>
      <w:szCs w:val="18"/>
    </w:rPr>
  </w:style>
  <w:style w:type="character" w:customStyle="1" w:styleId="22">
    <w:name w:val="批注主题 Char"/>
    <w:link w:val="11"/>
    <w:qFormat/>
    <w:uiPriority w:val="0"/>
    <w:rPr>
      <w:b/>
      <w:bCs/>
      <w:kern w:val="2"/>
      <w:sz w:val="21"/>
      <w:szCs w:val="24"/>
    </w:rPr>
  </w:style>
  <w:style w:type="character" w:customStyle="1" w:styleId="23">
    <w:name w:val="da"/>
    <w:basedOn w:val="13"/>
    <w:qFormat/>
    <w:uiPriority w:val="0"/>
  </w:style>
  <w:style w:type="paragraph" w:customStyle="1" w:styleId="24">
    <w:name w:val=" Char Char1 Char"/>
    <w:basedOn w:val="1"/>
    <w:qFormat/>
    <w:uiPriority w:val="0"/>
    <w:pPr>
      <w:tabs>
        <w:tab w:val="left" w:pos="360"/>
      </w:tabs>
    </w:pPr>
    <w:rPr>
      <w:sz w:val="24"/>
    </w:rPr>
  </w:style>
  <w:style w:type="paragraph" w:customStyle="1" w:styleId="25">
    <w:name w:val="Char Char1 Char"/>
    <w:basedOn w:val="1"/>
    <w:qFormat/>
    <w:uiPriority w:val="0"/>
    <w:pPr>
      <w:tabs>
        <w:tab w:val="left" w:pos="360"/>
      </w:tabs>
    </w:pPr>
    <w:rPr>
      <w:sz w:val="24"/>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CM3"/>
    <w:basedOn w:val="26"/>
    <w:next w:val="26"/>
    <w:qFormat/>
    <w:uiPriority w:val="0"/>
    <w:pPr>
      <w:spacing w:after="153"/>
    </w:pPr>
    <w:rPr>
      <w:rFonts w:cs="Times New Roman"/>
      <w:color w:val="auto"/>
    </w:rPr>
  </w:style>
  <w:style w:type="paragraph" w:customStyle="1" w:styleId="28">
    <w:name w:val="CM15"/>
    <w:basedOn w:val="26"/>
    <w:next w:val="26"/>
    <w:qFormat/>
    <w:uiPriority w:val="0"/>
    <w:pPr>
      <w:spacing w:after="400"/>
    </w:pPr>
    <w:rPr>
      <w:rFonts w:cs="Times New Roman"/>
      <w:color w:val="auto"/>
    </w:rPr>
  </w:style>
  <w:style w:type="paragraph" w:customStyle="1" w:styleId="29">
    <w:name w:val="CM10"/>
    <w:basedOn w:val="26"/>
    <w:next w:val="26"/>
    <w:qFormat/>
    <w:uiPriority w:val="0"/>
    <w:pPr>
      <w:spacing w:line="400" w:lineRule="atLeast"/>
    </w:pPr>
    <w:rPr>
      <w:rFonts w:cs="Times New Roman"/>
      <w:color w:val="auto"/>
    </w:rPr>
  </w:style>
  <w:style w:type="paragraph" w:customStyle="1" w:styleId="30">
    <w:name w:val=" Char Char Char1 Char"/>
    <w:basedOn w:val="2"/>
    <w:semiHidden/>
    <w:qFormat/>
    <w:uiPriority w:val="0"/>
    <w:rPr>
      <w:rFonts w:ascii="Tahoma" w:hAnsi="Tahoma" w:cs="Tahoma"/>
      <w:kern w:val="0"/>
      <w:sz w:val="18"/>
    </w:rPr>
  </w:style>
  <w:style w:type="character" w:customStyle="1" w:styleId="31">
    <w:name w:val="apple-style-span"/>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feiya</Company>
  <Pages>6</Pages>
  <Words>4069</Words>
  <Characters>5368</Characters>
  <Lines>12</Lines>
  <Paragraphs>3</Paragraphs>
  <TotalTime>0</TotalTime>
  <ScaleCrop>false</ScaleCrop>
  <LinksUpToDate>false</LinksUpToDate>
  <CharactersWithSpaces>5449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2022-05-09T06:25:00Z</dcterms:created>
  <dc:creator>dingmin</dc:creator>
  <cp:lastModifiedBy>WSY</cp:lastModifiedBy>
  <cp:lastPrinted>2020-06-23T08:38:00Z</cp:lastPrinted>
  <dcterms:modified xsi:type="dcterms:W3CDTF">2023-12-22T07:49:54Z</dcterms:modified>
  <dc:title>证券代码：002042   证券简称：飞亚股份   公告编号：飞亚公告[2006]012号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07949A5650594E7A984CA0E05638B7FC_13</vt:lpwstr>
  </property>
</Properties>
</file>