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023-66</w:t>
      </w:r>
    </w:p>
    <w:p>
      <w:pPr>
        <w:wordWrap w:val="0"/>
        <w:autoSpaceDE w:val="0"/>
        <w:autoSpaceDN w:val="0"/>
        <w:adjustRightInd w:val="0"/>
        <w:jc w:val="center"/>
        <w:rPr>
          <w:rFonts w:ascii="Times New Roman" w:hAnsi="Times New Roman"/>
          <w:kern w:val="0"/>
          <w:sz w:val="24"/>
          <w:szCs w:val="36"/>
        </w:rPr>
      </w:pPr>
    </w:p>
    <w:p>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pPr>
        <w:wordWrap w:val="0"/>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rPr>
        <w:t>关于与专业投资机构共同投资的公告</w:t>
      </w:r>
    </w:p>
    <w:p>
      <w:pPr>
        <w:wordWrap w:val="0"/>
        <w:autoSpaceDE w:val="0"/>
        <w:autoSpaceDN w:val="0"/>
        <w:adjustRightInd w:val="0"/>
        <w:ind w:firstLine="480" w:firstLineChars="200"/>
        <w:jc w:val="left"/>
        <w:rPr>
          <w:rFonts w:ascii="楷体" w:hAnsi="楷体" w:eastAsia="楷体"/>
          <w:kern w:val="0"/>
          <w:sz w:val="24"/>
          <w:szCs w:val="24"/>
        </w:rPr>
      </w:pPr>
    </w:p>
    <w:p>
      <w:pPr>
        <w:wordWrap w:val="0"/>
        <w:autoSpaceDE w:val="0"/>
        <w:autoSpaceDN w:val="0"/>
        <w:adjustRightInd w:val="0"/>
        <w:ind w:firstLine="480" w:firstLineChars="200"/>
        <w:jc w:val="left"/>
        <w:rPr>
          <w:rFonts w:ascii="宋体" w:hAnsi="宋体" w:cs="宋体"/>
          <w:sz w:val="24"/>
        </w:rPr>
      </w:pPr>
      <w:r>
        <w:rPr>
          <w:rFonts w:ascii="楷体" w:hAnsi="楷体" w:eastAsia="楷体"/>
          <w:kern w:val="0"/>
          <w:sz w:val="24"/>
          <w:szCs w:val="24"/>
        </w:rPr>
        <w:t>本公司及</w:t>
      </w:r>
      <w:r>
        <w:rPr>
          <w:rFonts w:hint="eastAsia" w:ascii="楷体" w:hAnsi="楷体" w:eastAsia="楷体"/>
          <w:kern w:val="0"/>
          <w:sz w:val="24"/>
          <w:szCs w:val="24"/>
        </w:rPr>
        <w:t>董</w:t>
      </w:r>
      <w:r>
        <w:rPr>
          <w:rFonts w:ascii="楷体" w:hAnsi="楷体" w:eastAsia="楷体"/>
          <w:kern w:val="0"/>
          <w:sz w:val="24"/>
          <w:szCs w:val="24"/>
        </w:rPr>
        <w:t>事会全体成员保证信息披露的内容真实、准确、完整，没有虚假记载、误导性陈述或重大遗漏。</w:t>
      </w:r>
    </w:p>
    <w:p>
      <w:pPr>
        <w:numPr>
          <w:ilvl w:val="0"/>
          <w:numId w:val="1"/>
        </w:numPr>
        <w:spacing w:line="500" w:lineRule="exact"/>
        <w:ind w:firstLine="472" w:firstLineChars="196"/>
        <w:rPr>
          <w:rFonts w:ascii="宋体" w:hAnsi="宋体" w:cs="宋体"/>
          <w:b/>
          <w:bCs/>
          <w:sz w:val="24"/>
        </w:rPr>
      </w:pPr>
      <w:r>
        <w:rPr>
          <w:rFonts w:hint="eastAsia" w:ascii="宋体" w:hAnsi="宋体" w:cs="宋体"/>
          <w:b/>
          <w:bCs/>
          <w:sz w:val="24"/>
        </w:rPr>
        <w:t>与专业投资机构共同投资概述</w:t>
      </w:r>
    </w:p>
    <w:p>
      <w:pPr>
        <w:widowControl/>
        <w:spacing w:line="500" w:lineRule="exact"/>
        <w:ind w:firstLine="480" w:firstLineChars="200"/>
        <w:rPr>
          <w:rFonts w:ascii="宋体" w:hAnsi="宋体" w:cs="宋体"/>
          <w:color w:val="333333"/>
          <w:sz w:val="24"/>
          <w:szCs w:val="24"/>
        </w:rPr>
      </w:pPr>
      <w:r>
        <w:rPr>
          <w:rFonts w:hint="eastAsia" w:ascii="宋体" w:hAnsi="宋体" w:cs="宋体"/>
          <w:color w:val="333333"/>
          <w:kern w:val="0"/>
          <w:sz w:val="24"/>
          <w:szCs w:val="24"/>
          <w:shd w:val="clear" w:color="auto" w:fill="FFFFFF"/>
        </w:rPr>
        <w:t>华孚时尚股份有限公司（以下简称“公司”）全资子公司阿克苏华孚科技有限公司（以下简称“华孚科技”）与龙芯（深圳）私募创业投资基金管理有限公司（以下简称“龙芯（深圳）”）于近日签署了《共青城龙芯创零创业投资基金合伙企业（有限合伙）合伙协议》（以下简称“《合伙协议》”），</w:t>
      </w:r>
      <w:r>
        <w:rPr>
          <w:rFonts w:hint="eastAsia" w:cs="宋体"/>
          <w:color w:val="333333"/>
          <w:sz w:val="24"/>
          <w:szCs w:val="24"/>
          <w:shd w:val="clear" w:color="auto" w:fill="FFFFFF"/>
        </w:rPr>
        <w:t>华孚科技</w:t>
      </w:r>
      <w:r>
        <w:rPr>
          <w:rFonts w:hint="eastAsia" w:ascii="宋体" w:hAnsi="宋体" w:cs="宋体"/>
          <w:color w:val="333333"/>
          <w:sz w:val="24"/>
          <w:szCs w:val="24"/>
          <w:shd w:val="clear" w:color="auto" w:fill="FFFFFF"/>
        </w:rPr>
        <w:t>以自有资金出资1,000万元人民币，参与</w:t>
      </w:r>
      <w:r>
        <w:rPr>
          <w:rFonts w:hint="eastAsia" w:ascii="宋体" w:hAnsi="宋体" w:cs="宋体"/>
          <w:color w:val="333333"/>
          <w:kern w:val="0"/>
          <w:sz w:val="24"/>
          <w:szCs w:val="24"/>
          <w:shd w:val="clear" w:color="auto" w:fill="FFFFFF"/>
        </w:rPr>
        <w:t>共同投资共青城龙芯创零创业投资基金合伙企业（有限合伙）(以下简称“投资基金”）。</w:t>
      </w:r>
    </w:p>
    <w:p>
      <w:pPr>
        <w:pStyle w:val="9"/>
        <w:shd w:val="clear" w:color="auto" w:fill="FFFFFF"/>
        <w:spacing w:before="0" w:beforeAutospacing="0" w:after="0" w:afterAutospacing="0" w:line="500" w:lineRule="atLeast"/>
        <w:ind w:firstLine="480" w:firstLineChars="200"/>
        <w:jc w:val="both"/>
        <w:rPr>
          <w:b/>
          <w:bCs/>
        </w:rPr>
      </w:pPr>
      <w:r>
        <w:rPr>
          <w:rFonts w:hint="eastAsia"/>
          <w:color w:val="333333"/>
          <w:shd w:val="clear" w:color="auto" w:fill="FFFFFF"/>
        </w:rPr>
        <w:t>根据《深圳证券交易所股票上市规则》《深圳证券交易所上市公司自律监管指引第7号——交易与关联交易》《公司章程》等相关规定，本次对外投资无需提交公司董事会或股东大会审议。本次对外投资不构成关联交易，亦不构成《上市公司重大资产重组管理办法》规定的重大资产重组。</w:t>
      </w:r>
    </w:p>
    <w:p>
      <w:pPr>
        <w:numPr>
          <w:ilvl w:val="0"/>
          <w:numId w:val="1"/>
        </w:numPr>
        <w:spacing w:line="500" w:lineRule="exact"/>
        <w:ind w:firstLine="472" w:firstLineChars="196"/>
        <w:rPr>
          <w:rFonts w:ascii="宋体" w:hAnsi="宋体" w:cs="宋体"/>
          <w:b/>
          <w:bCs/>
          <w:sz w:val="24"/>
        </w:rPr>
      </w:pPr>
      <w:r>
        <w:rPr>
          <w:rFonts w:hint="eastAsia" w:ascii="宋体" w:hAnsi="宋体" w:cs="宋体"/>
          <w:b/>
          <w:bCs/>
          <w:sz w:val="24"/>
        </w:rPr>
        <w:t>华孚科技基本信息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企业名称</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阿克苏华孚科技有限公司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企业类型</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有限责任公司(非自然人投资或控股的法人独资)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成立时间</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2018年8月28日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注册资本</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10,000万人民币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jc w:val="left"/>
              <w:rPr>
                <w:rFonts w:ascii="宋体" w:hAnsi="宋体" w:cs="宋体"/>
                <w:b/>
                <w:bCs/>
                <w:sz w:val="24"/>
              </w:rPr>
            </w:pPr>
            <w:r>
              <w:rPr>
                <w:rFonts w:hint="eastAsia" w:ascii="宋体" w:hAnsi="宋体" w:cs="宋体"/>
                <w:b/>
                <w:bCs/>
                <w:sz w:val="24"/>
              </w:rPr>
              <w:t>注册地址</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新疆阿克苏地区阿克苏市纺织工业城(开发区)温州路西侧阿克苏华孚综合楼二楼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统一社会信用代码</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91652900MA782UBMXB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法定代表人</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陈垚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Pr>
          <w:p>
            <w:pPr>
              <w:rPr>
                <w:rFonts w:ascii="宋体" w:hAnsi="宋体" w:cs="宋体"/>
                <w:b/>
                <w:bCs/>
                <w:sz w:val="24"/>
              </w:rPr>
            </w:pPr>
            <w:r>
              <w:rPr>
                <w:rFonts w:hint="eastAsia" w:ascii="宋体" w:hAnsi="宋体" w:cs="宋体"/>
                <w:b/>
                <w:bCs/>
                <w:sz w:val="24"/>
              </w:rPr>
              <w:t>股东信息</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阿克苏华孚色纺有限公司持有100%股权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rPr>
                <w:rFonts w:ascii="宋体" w:hAnsi="宋体" w:cs="宋体"/>
                <w:b/>
                <w:bCs/>
                <w:sz w:val="24"/>
              </w:rPr>
            </w:pPr>
            <w:r>
              <w:rPr>
                <w:rFonts w:hint="eastAsia" w:ascii="宋体" w:hAnsi="宋体" w:cs="宋体"/>
                <w:b/>
                <w:bCs/>
                <w:sz w:val="24"/>
              </w:rPr>
              <w:t>经营范围</w:t>
            </w:r>
          </w:p>
        </w:tc>
        <w:tc>
          <w:tcPr>
            <w:tcW w:w="6203" w:type="dxa"/>
          </w:tcPr>
          <w:p>
            <w:pPr>
              <w:rPr>
                <w:rFonts w:ascii="宋体" w:hAnsi="宋体" w:cs="宋体"/>
                <w:b/>
                <w:bCs/>
                <w:sz w:val="24"/>
              </w:rPr>
            </w:pPr>
            <w:r>
              <w:rPr>
                <w:rFonts w:hint="eastAsia" w:ascii="宋体" w:hAnsi="宋体" w:cs="宋体"/>
                <w:color w:val="333333"/>
                <w:kern w:val="0"/>
                <w:sz w:val="24"/>
                <w:szCs w:val="24"/>
                <w:shd w:val="clear" w:color="auto" w:fill="FFFFFF"/>
              </w:rPr>
              <w:t>一般项目：新兴能源技术研发；智能机器人的研发；新材料技术研发；生物基材料技术研发；新材料技术推广服务；技术服务、技术开发、技术咨询、技术交流、技术转让、技术推广；园区管理服务；以自有资金从事投资活动；企业管理；企业管理咨询；人工智能应用软件开发；软件开发；信息技术咨询服务；网络与信息安全软件开发；工业互联网数据服务；数据处理服务；数字技术服务；专业设计服务；计算机系统服务；信息系统集成服务；人工智能行业应用系统集成服务；人工智能通用应用系统；工业设计服务；信息系统运行维护服务；发电技术服务；风力发电技术服务；太阳能发电技术服务；合同能源管理；工程技术服务（规划管理、勘察、设计、监理除外）（除依法须经批准的项目外，凭营业执照依法自主开展经营活动）许可项目：在线数据处理与交易处理业务（经营类电子商务）；互联网信息服务（依法须经批准的项目，经相关部门批准后方可开展经营活动，具体经营项目以相关部门批准文件或许可证件为准）</w:t>
            </w:r>
          </w:p>
        </w:tc>
      </w:tr>
    </w:tbl>
    <w:p>
      <w:pPr>
        <w:numPr>
          <w:ilvl w:val="0"/>
          <w:numId w:val="1"/>
        </w:numPr>
        <w:spacing w:line="500" w:lineRule="exact"/>
        <w:ind w:firstLine="472" w:firstLineChars="196"/>
        <w:rPr>
          <w:rFonts w:ascii="宋体" w:hAnsi="宋体" w:cs="宋体"/>
          <w:b/>
          <w:bCs/>
          <w:sz w:val="24"/>
        </w:rPr>
      </w:pPr>
      <w:r>
        <w:rPr>
          <w:rFonts w:hint="eastAsia" w:ascii="宋体" w:hAnsi="宋体" w:cs="宋体"/>
          <w:b/>
          <w:bCs/>
          <w:sz w:val="24"/>
        </w:rPr>
        <w:t>专业机构的基本情况</w:t>
      </w:r>
    </w:p>
    <w:p>
      <w:pPr>
        <w:spacing w:line="500" w:lineRule="exact"/>
        <w:rPr>
          <w:rFonts w:ascii="宋体" w:hAnsi="宋体" w:cs="宋体"/>
          <w:b/>
          <w:bCs/>
          <w:sz w:val="24"/>
        </w:rPr>
      </w:pPr>
      <w:r>
        <w:rPr>
          <w:rFonts w:hint="eastAsia" w:ascii="宋体" w:hAnsi="宋体" w:cs="宋体"/>
          <w:b/>
          <w:bCs/>
          <w:sz w:val="24"/>
        </w:rPr>
        <w:t>1、执行事务合伙人、普通合伙人、基金管理人基本情况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企业名称</w:t>
            </w:r>
          </w:p>
        </w:tc>
        <w:tc>
          <w:tcPr>
            <w:tcW w:w="6218" w:type="dxa"/>
          </w:tcPr>
          <w:p>
            <w:pPr>
              <w:rPr>
                <w:rFonts w:ascii="宋体" w:hAnsi="宋体" w:cs="宋体"/>
                <w:b/>
                <w:bCs/>
                <w:sz w:val="24"/>
              </w:rPr>
            </w:pPr>
            <w:r>
              <w:rPr>
                <w:rFonts w:hint="eastAsia" w:ascii="宋体" w:hAnsi="宋体" w:cs="宋体"/>
                <w:sz w:val="24"/>
              </w:rPr>
              <w:t>龙芯（深圳）私募创业投资基金管理有限公司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企业类型</w:t>
            </w:r>
          </w:p>
        </w:tc>
        <w:tc>
          <w:tcPr>
            <w:tcW w:w="6218" w:type="dxa"/>
          </w:tcPr>
          <w:p>
            <w:pPr>
              <w:rPr>
                <w:rFonts w:ascii="宋体" w:hAnsi="宋体" w:cs="宋体"/>
                <w:b/>
                <w:bCs/>
                <w:sz w:val="24"/>
              </w:rPr>
            </w:pPr>
            <w:r>
              <w:rPr>
                <w:rFonts w:hint="eastAsia" w:ascii="宋体" w:hAnsi="宋体" w:cs="宋体"/>
                <w:sz w:val="24"/>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法定代表人</w:t>
            </w:r>
          </w:p>
        </w:tc>
        <w:tc>
          <w:tcPr>
            <w:tcW w:w="6218" w:type="dxa"/>
          </w:tcPr>
          <w:p>
            <w:pPr>
              <w:rPr>
                <w:rFonts w:ascii="宋体" w:hAnsi="宋体" w:cs="宋体"/>
                <w:b/>
                <w:bCs/>
                <w:sz w:val="24"/>
              </w:rPr>
            </w:pPr>
            <w:r>
              <w:rPr>
                <w:rFonts w:hint="eastAsia" w:ascii="宋体" w:hAnsi="宋体" w:cs="宋体"/>
                <w:sz w:val="24"/>
              </w:rPr>
              <w:t>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注册资本</w:t>
            </w:r>
          </w:p>
        </w:tc>
        <w:tc>
          <w:tcPr>
            <w:tcW w:w="6218" w:type="dxa"/>
          </w:tcPr>
          <w:p>
            <w:pPr>
              <w:rPr>
                <w:rFonts w:ascii="宋体" w:hAnsi="宋体" w:cs="宋体"/>
                <w:b/>
                <w:bCs/>
                <w:sz w:val="24"/>
              </w:rPr>
            </w:pPr>
            <w:r>
              <w:rPr>
                <w:rFonts w:hint="eastAsia" w:ascii="宋体" w:hAnsi="宋体" w:cs="宋体"/>
                <w:sz w:val="24"/>
              </w:rPr>
              <w:t>1000万人民币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注册地址</w:t>
            </w:r>
          </w:p>
        </w:tc>
        <w:tc>
          <w:tcPr>
            <w:tcW w:w="6218" w:type="dxa"/>
          </w:tcPr>
          <w:p>
            <w:pPr>
              <w:rPr>
                <w:rFonts w:ascii="宋体" w:hAnsi="宋体" w:cs="宋体"/>
                <w:b/>
                <w:bCs/>
                <w:sz w:val="24"/>
              </w:rPr>
            </w:pPr>
            <w:r>
              <w:rPr>
                <w:rFonts w:hint="eastAsia" w:ascii="宋体" w:hAnsi="宋体" w:cs="宋体"/>
                <w:sz w:val="24"/>
              </w:rPr>
              <w:t>深圳市福田区华富街道莲花一村社区皇岗路5001号深业上城(南区)T2栋42层42067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统一社会信用代码</w:t>
            </w:r>
          </w:p>
        </w:tc>
        <w:tc>
          <w:tcPr>
            <w:tcW w:w="6218" w:type="dxa"/>
          </w:tcPr>
          <w:p>
            <w:pPr>
              <w:rPr>
                <w:rFonts w:ascii="宋体" w:hAnsi="宋体" w:cs="宋体"/>
                <w:b/>
                <w:bCs/>
                <w:sz w:val="24"/>
              </w:rPr>
            </w:pPr>
            <w:r>
              <w:rPr>
                <w:rFonts w:hint="eastAsia" w:ascii="宋体" w:hAnsi="宋体" w:cs="宋体"/>
                <w:sz w:val="24"/>
              </w:rPr>
              <w:t>91440101MA59MDJL2D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成立时间</w:t>
            </w:r>
          </w:p>
        </w:tc>
        <w:tc>
          <w:tcPr>
            <w:tcW w:w="6218" w:type="dxa"/>
          </w:tcPr>
          <w:p>
            <w:pPr>
              <w:rPr>
                <w:rFonts w:ascii="宋体" w:hAnsi="宋体" w:cs="宋体"/>
                <w:b/>
                <w:bCs/>
                <w:sz w:val="24"/>
              </w:rPr>
            </w:pPr>
            <w:r>
              <w:rPr>
                <w:rFonts w:hint="eastAsia" w:ascii="宋体" w:hAnsi="宋体" w:cs="宋体"/>
                <w:sz w:val="24"/>
              </w:rPr>
              <w:t>2017年5月4日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控股股东</w:t>
            </w:r>
          </w:p>
        </w:tc>
        <w:tc>
          <w:tcPr>
            <w:tcW w:w="6218" w:type="dxa"/>
          </w:tcPr>
          <w:p>
            <w:pPr>
              <w:rPr>
                <w:rFonts w:ascii="宋体" w:hAnsi="宋体" w:cs="宋体"/>
                <w:sz w:val="24"/>
              </w:rPr>
            </w:pPr>
            <w:r>
              <w:rPr>
                <w:rFonts w:hint="eastAsia" w:ascii="宋体" w:hAnsi="宋体" w:cs="宋体"/>
                <w:sz w:val="24"/>
              </w:rPr>
              <w:t>安吉利泽信管理咨询合伙企业（有限合伙）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实际控制人</w:t>
            </w:r>
          </w:p>
        </w:tc>
        <w:tc>
          <w:tcPr>
            <w:tcW w:w="6218" w:type="dxa"/>
          </w:tcPr>
          <w:p>
            <w:pPr>
              <w:rPr>
                <w:rFonts w:ascii="宋体" w:hAnsi="宋体" w:cs="宋体"/>
                <w:b/>
                <w:bCs/>
                <w:sz w:val="24"/>
              </w:rPr>
            </w:pPr>
            <w:r>
              <w:rPr>
                <w:rFonts w:hint="eastAsia" w:ascii="宋体" w:hAnsi="宋体" w:cs="宋体"/>
                <w:sz w:val="24"/>
              </w:rPr>
              <w:t>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rPr>
                <w:rFonts w:ascii="宋体" w:hAnsi="宋体" w:cs="宋体"/>
                <w:b/>
                <w:bCs/>
                <w:sz w:val="24"/>
              </w:rPr>
            </w:pPr>
            <w:r>
              <w:rPr>
                <w:rFonts w:hint="eastAsia" w:ascii="宋体" w:hAnsi="宋体" w:cs="宋体"/>
                <w:b/>
                <w:bCs/>
                <w:sz w:val="24"/>
              </w:rPr>
              <w:t>经营范围</w:t>
            </w:r>
          </w:p>
        </w:tc>
        <w:tc>
          <w:tcPr>
            <w:tcW w:w="6218" w:type="dxa"/>
          </w:tcPr>
          <w:p>
            <w:pPr>
              <w:rPr>
                <w:rFonts w:ascii="宋体" w:hAnsi="宋体" w:cs="宋体"/>
                <w:b/>
                <w:bCs/>
                <w:sz w:val="24"/>
              </w:rPr>
            </w:pPr>
            <w:r>
              <w:rPr>
                <w:rFonts w:hint="eastAsia" w:ascii="宋体" w:hAnsi="宋体" w:cs="宋体"/>
                <w:sz w:val="24"/>
              </w:rPr>
              <w:t>一般经营项目是：私募股权投资基金管理、创业投资基金管理服务（须在中国证券投资基金业协会完成登记备案后方可从事经营活动）。许可经营项目是：无</w:t>
            </w:r>
          </w:p>
        </w:tc>
      </w:tr>
    </w:tbl>
    <w:p>
      <w:pPr>
        <w:widowControl/>
        <w:spacing w:line="500" w:lineRule="exact"/>
        <w:ind w:firstLine="480" w:firstLineChars="200"/>
        <w:rPr>
          <w:rFonts w:ascii="宋体" w:hAnsi="宋体" w:cs="宋体"/>
          <w:b/>
          <w:bCs/>
          <w:sz w:val="24"/>
          <w:highlight w:val="yellow"/>
        </w:rPr>
      </w:pPr>
      <w:r>
        <w:rPr>
          <w:rFonts w:hint="eastAsia" w:ascii="宋体" w:hAnsi="宋体" w:cs="宋体"/>
          <w:sz w:val="24"/>
          <w:szCs w:val="24"/>
        </w:rPr>
        <w:t>2、龙芯（深圳）已</w:t>
      </w:r>
      <w:r>
        <w:rPr>
          <w:rFonts w:ascii="宋体" w:hAnsi="宋体" w:cs="宋体"/>
          <w:sz w:val="24"/>
          <w:szCs w:val="24"/>
        </w:rPr>
        <w:t>在中国证券投资基金业协会完成私募基金管理人备案登记，登记编号P1068738。截至本公告披露日，</w:t>
      </w:r>
      <w:r>
        <w:rPr>
          <w:rFonts w:hint="eastAsia" w:ascii="宋体" w:hAnsi="宋体" w:cs="宋体"/>
          <w:sz w:val="24"/>
          <w:szCs w:val="24"/>
        </w:rPr>
        <w:t>龙芯（深圳）</w:t>
      </w:r>
      <w:r>
        <w:rPr>
          <w:rFonts w:ascii="宋体" w:hAnsi="宋体" w:cs="宋体"/>
          <w:sz w:val="24"/>
          <w:szCs w:val="24"/>
        </w:rPr>
        <w:t>未被列入失信被执行人名单。</w:t>
      </w:r>
    </w:p>
    <w:p>
      <w:pPr>
        <w:numPr>
          <w:ilvl w:val="0"/>
          <w:numId w:val="1"/>
        </w:numPr>
        <w:spacing w:line="500" w:lineRule="exact"/>
        <w:ind w:firstLine="472" w:firstLineChars="196"/>
        <w:rPr>
          <w:rFonts w:ascii="宋体" w:hAnsi="宋体" w:cs="宋体"/>
          <w:b/>
          <w:bCs/>
          <w:sz w:val="24"/>
        </w:rPr>
      </w:pPr>
      <w:r>
        <w:rPr>
          <w:rFonts w:hint="eastAsia" w:ascii="宋体" w:hAnsi="宋体" w:cs="宋体"/>
          <w:b/>
          <w:bCs/>
          <w:sz w:val="24"/>
        </w:rPr>
        <w:t>投资基金具体情况及合伙协议主要条款</w:t>
      </w:r>
    </w:p>
    <w:p>
      <w:pPr>
        <w:autoSpaceDE w:val="0"/>
        <w:autoSpaceDN w:val="0"/>
        <w:adjustRightInd w:val="0"/>
        <w:spacing w:line="500" w:lineRule="exact"/>
        <w:ind w:firstLine="482" w:firstLineChars="2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（一）投资基金基本情况</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1、基金名称：共青城龙芯创零创业投资基金合伙企业（有限合伙）</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2、基金规模：2.4亿人民币（以最终实际募集规模为准）</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3、组织形式：有限合伙企业</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4、出资方式：所有合伙人之出资方式均为人民币现金出资。</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5、出资进度：截至本公告披露日，华孚科技已按期足额缴纳认缴出资额人民币1,000万元。</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6、存续期限：自基金成立之日起6年</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退出机制：合伙企业备案完成后，有限合伙人不得赎回或退出。如有限合伙人为满足法律、法规及有权机关的监管规定的变化而不得不提出退伙，则该有限合伙人应依据合伙协议的约定通过转让其持有的合伙权益的方式退出合伙企业，该权益转让需经普通合伙人事先书面同意。</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8、上市公司对基金的会计处理方法：</w:t>
      </w:r>
      <w:r>
        <w:rPr>
          <w:rFonts w:ascii="宋体" w:hAnsi="宋体" w:cs="宋体"/>
          <w:sz w:val="24"/>
          <w:szCs w:val="24"/>
        </w:rPr>
        <w:t>公司依据《企业会计准则第22号——金融工具确认和计量》对本基金确认和计量，进行核算处理。</w:t>
      </w:r>
    </w:p>
    <w:p>
      <w:pPr>
        <w:wordWrap w:val="0"/>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9、投资方向：合伙企业进行创业投资，将通过股权投资的方式投资于单一项目，即太初（无锡）电子科技有限公司（统一社会信用代码</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rPr>
        <w:t>91320211MA20C1UT7M）。被投资企业主要从事国产高性能</w:t>
      </w:r>
      <w:bookmarkStart w:id="0" w:name="_GoBack"/>
      <w:bookmarkEnd w:id="0"/>
      <w:r>
        <w:rPr>
          <w:rFonts w:asciiTheme="minorEastAsia" w:hAnsiTheme="minorEastAsia" w:eastAsiaTheme="minorEastAsia"/>
          <w:kern w:val="0"/>
          <w:sz w:val="24"/>
          <w:szCs w:val="24"/>
        </w:rPr>
        <w:t>AI</w:t>
      </w:r>
      <w:r>
        <w:rPr>
          <w:rFonts w:hint="eastAsia" w:asciiTheme="minorEastAsia" w:hAnsiTheme="minorEastAsia" w:eastAsiaTheme="minorEastAsia"/>
          <w:kern w:val="0"/>
          <w:sz w:val="24"/>
          <w:szCs w:val="24"/>
        </w:rPr>
        <w:t>计算芯片研发、算力系统集成服务与全栈软件生态的搭建，是国内能提供高效系统级、软硬生态纯自主可控</w:t>
      </w:r>
      <w:r>
        <w:rPr>
          <w:rFonts w:asciiTheme="minorEastAsia" w:hAnsiTheme="minorEastAsia" w:eastAsiaTheme="minorEastAsia"/>
          <w:kern w:val="0"/>
          <w:sz w:val="24"/>
          <w:szCs w:val="24"/>
        </w:rPr>
        <w:t>HPC+AI</w:t>
      </w:r>
      <w:r>
        <w:rPr>
          <w:rFonts w:hint="eastAsia" w:asciiTheme="minorEastAsia" w:hAnsiTheme="minorEastAsia" w:eastAsiaTheme="minorEastAsia"/>
          <w:kern w:val="0"/>
          <w:sz w:val="24"/>
          <w:szCs w:val="24"/>
        </w:rPr>
        <w:t>解决方案的厂商</w:t>
      </w:r>
      <w:r>
        <w:rPr>
          <w:rFonts w:hint="eastAsia" w:asciiTheme="minorEastAsia" w:hAnsiTheme="minorEastAsia" w:eastAsiaTheme="minorEastAsia"/>
          <w:kern w:val="0"/>
          <w:sz w:val="24"/>
          <w:szCs w:val="24"/>
          <w:lang w:eastAsia="zh-CN"/>
        </w:rPr>
        <w:t>之一</w:t>
      </w:r>
      <w:r>
        <w:rPr>
          <w:rFonts w:hint="eastAsia" w:asciiTheme="minorEastAsia" w:hAnsiTheme="minorEastAsia" w:eastAsiaTheme="minorEastAsia"/>
          <w:kern w:val="0"/>
          <w:sz w:val="24"/>
          <w:szCs w:val="24"/>
        </w:rPr>
        <w:t>。</w:t>
      </w:r>
    </w:p>
    <w:p>
      <w:pPr>
        <w:autoSpaceDE w:val="0"/>
        <w:autoSpaceDN w:val="0"/>
        <w:adjustRightInd w:val="0"/>
        <w:spacing w:line="500" w:lineRule="exact"/>
        <w:ind w:firstLine="472" w:firstLineChars="196"/>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（二）投资基金的管理模式</w:t>
      </w:r>
    </w:p>
    <w:p>
      <w:pPr>
        <w:autoSpaceDE w:val="0"/>
        <w:autoSpaceDN w:val="0"/>
        <w:adjustRightInd w:val="0"/>
        <w:spacing w:line="50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1、管理及决策机制</w:t>
      </w:r>
    </w:p>
    <w:p>
      <w:pPr>
        <w:autoSpaceDE w:val="0"/>
        <w:autoSpaceDN w:val="0"/>
        <w:adjustRightInd w:val="0"/>
        <w:spacing w:line="50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合伙企业事务由普通合伙人管理。普通合伙人设投资决策委员会，其成员由普通合伙人委派，负责就合伙企业投资、退出等作出决策。普通合伙人应对于合伙企业完成投资后对被投资企业进行持续监控，防范投资风险，并在适宜的时机实现投资退出。</w:t>
      </w:r>
    </w:p>
    <w:p>
      <w:pPr>
        <w:numPr>
          <w:ilvl w:val="0"/>
          <w:numId w:val="2"/>
        </w:numPr>
        <w:autoSpaceDE w:val="0"/>
        <w:autoSpaceDN w:val="0"/>
        <w:adjustRightInd w:val="0"/>
        <w:spacing w:line="50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各投资人的合作地位及权利义务</w:t>
      </w:r>
    </w:p>
    <w:p>
      <w:pPr>
        <w:autoSpaceDE w:val="0"/>
        <w:autoSpaceDN w:val="0"/>
        <w:adjustRightInd w:val="0"/>
        <w:spacing w:line="500" w:lineRule="exact"/>
        <w:ind w:firstLine="480" w:firstLineChars="200"/>
        <w:jc w:val="left"/>
      </w:pPr>
      <w:r>
        <w:rPr>
          <w:rFonts w:hint="eastAsia" w:asciiTheme="minorEastAsia" w:hAnsiTheme="minorEastAsia" w:eastAsiaTheme="minorEastAsia"/>
          <w:kern w:val="0"/>
          <w:sz w:val="24"/>
          <w:szCs w:val="24"/>
        </w:rPr>
        <w:t>（1）普通合伙人：合伙企业由普通合伙人执行合伙事务。全体合伙人一致认可，作为执行事务合伙人，除合伙协议另有约定外，普通合伙人享有对合伙企业事务独占及排他的决定权和执行权。</w:t>
      </w:r>
    </w:p>
    <w:p>
      <w:pPr>
        <w:autoSpaceDE w:val="0"/>
        <w:autoSpaceDN w:val="0"/>
        <w:adjustRightInd w:val="0"/>
        <w:spacing w:line="50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合伙企业的债务以合伙企业财产承担，合伙企业财产不足承担，普通合伙人承担无限连带责任。普通合伙人应当基于诚信及公平原则为合伙企业谋求利益。如因普通合伙人的故意或重大过失，致使合伙企业受到重大经济损失，普通合伙人应依法承担赔偿责任。</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（2）有限合伙人：受限于《合伙企业法》的相关约定，有限合伙人未参与执行合伙事务的前提下，有限合伙人以其认缴出资额为限对合伙企业债务承担责任。</w:t>
      </w:r>
    </w:p>
    <w:p>
      <w:pPr>
        <w:numPr>
          <w:ilvl w:val="0"/>
          <w:numId w:val="2"/>
        </w:numPr>
        <w:autoSpaceDE w:val="0"/>
        <w:autoSpaceDN w:val="0"/>
        <w:adjustRightInd w:val="0"/>
        <w:spacing w:line="50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收益分配机制</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合伙企业可分配财产的分配原则及顺序如下：</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（1）第一，返还成本。百分之百向有限合伙人进行分配，直至有限合伙人截至该分配时点累计获得的收益分配总额等于其累计实缴出资额减去其承担的募集管理费之差；</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）第二，优先回报。如有余额，百分之百向有限合伙人进行分配，直至其就上述第（</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）段下累计获得的分配额获得按照单利</w:t>
      </w:r>
      <w:r>
        <w:rPr>
          <w:rFonts w:asciiTheme="minorEastAsia" w:hAnsiTheme="minorEastAsia" w:eastAsiaTheme="minorEastAsia"/>
          <w:kern w:val="0"/>
          <w:sz w:val="24"/>
          <w:szCs w:val="24"/>
        </w:rPr>
        <w:t>8%/</w:t>
      </w:r>
      <w:r>
        <w:rPr>
          <w:rFonts w:hint="eastAsia" w:asciiTheme="minorEastAsia" w:hAnsiTheme="minorEastAsia" w:eastAsiaTheme="minorEastAsia"/>
          <w:kern w:val="0"/>
          <w:sz w:val="24"/>
          <w:szCs w:val="24"/>
        </w:rPr>
        <w:t>年的回报率计算所得的优先回报。优先回报的计算期间自基金成立日起算，至该有限合伙人收回该部分实缴出资额之日止；</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）第三，收益分成追补。如有余额，百分之百向普通合伙人进行分配，直至普通合伙人按照本第（</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）段获得的累计分配额等于该有限合伙人根据上述第（</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）段累计获得的优先回报及普通合伙人依照本第（</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）段获得的累计分配额之和的百分之二十（</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 xml:space="preserve">）； </w:t>
      </w:r>
    </w:p>
    <w:p>
      <w:pPr>
        <w:autoSpaceDE w:val="0"/>
        <w:autoSpaceDN w:val="0"/>
        <w:adjustRightInd w:val="0"/>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）最后，超额收益分配。如有余额，百分之二十分配给普通合伙人，百分之八十分配给该有限合伙人。</w:t>
      </w:r>
    </w:p>
    <w:p>
      <w:pPr>
        <w:numPr>
          <w:ilvl w:val="0"/>
          <w:numId w:val="1"/>
        </w:numPr>
        <w:spacing w:line="500" w:lineRule="exact"/>
        <w:ind w:firstLine="472" w:firstLineChars="196"/>
        <w:rPr>
          <w:rFonts w:ascii="宋体" w:hAnsi="宋体" w:cs="宋体"/>
          <w:b/>
          <w:bCs/>
          <w:sz w:val="24"/>
        </w:rPr>
      </w:pPr>
      <w:r>
        <w:rPr>
          <w:rFonts w:hint="eastAsia" w:ascii="宋体" w:hAnsi="宋体" w:cs="宋体"/>
          <w:b/>
          <w:bCs/>
          <w:sz w:val="24"/>
        </w:rPr>
        <w:t>公司与投资基金的关联关系说明</w:t>
      </w:r>
    </w:p>
    <w:p>
      <w:pPr>
        <w:pStyle w:val="9"/>
        <w:shd w:val="clear" w:color="auto" w:fill="FFFFFF"/>
        <w:spacing w:before="0" w:beforeAutospacing="0" w:after="0" w:afterAutospacing="0" w:line="500"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截至本公告披露日，公司及公司控股股东、实际控制人、持股5%以上的股东、董事、监事、高级管理人员与龙芯（深圳）不存在关联关系或相关利益安排。龙芯（深圳）未以直接或间接形式持有上市公司股份，未与其他参与设立投资基金的投资人存在一致行动关系。</w:t>
      </w:r>
    </w:p>
    <w:p>
      <w:pPr>
        <w:pStyle w:val="9"/>
        <w:shd w:val="clear" w:color="auto" w:fill="FFFFFF"/>
        <w:spacing w:before="0" w:beforeAutospacing="0" w:after="0" w:afterAutospacing="0" w:line="420"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公司的控股股东、实际控制人、持股5%以上的股东、董事、监事、高级管理人员未参与投资基金的份额认购，亦不在投资基金任职。</w:t>
      </w:r>
    </w:p>
    <w:p>
      <w:pPr>
        <w:pStyle w:val="9"/>
        <w:numPr>
          <w:ilvl w:val="0"/>
          <w:numId w:val="1"/>
        </w:numPr>
        <w:shd w:val="clear" w:color="auto" w:fill="FFFFFF"/>
        <w:spacing w:before="0" w:beforeAutospacing="0" w:after="0" w:afterAutospacing="0" w:line="420" w:lineRule="atLeast"/>
        <w:ind w:firstLine="472" w:firstLineChars="196"/>
        <w:jc w:val="both"/>
        <w:rPr>
          <w:b/>
          <w:bCs/>
          <w:kern w:val="2"/>
          <w:szCs w:val="22"/>
        </w:rPr>
      </w:pPr>
      <w:r>
        <w:rPr>
          <w:rFonts w:hint="eastAsia"/>
          <w:b/>
          <w:bCs/>
          <w:kern w:val="2"/>
          <w:szCs w:val="22"/>
        </w:rPr>
        <w:t>对上市公司的影响和存在的风险</w:t>
      </w:r>
    </w:p>
    <w:p>
      <w:pPr>
        <w:pStyle w:val="4"/>
        <w:widowControl/>
        <w:shd w:val="clear" w:color="auto" w:fill="FFFFFF"/>
        <w:spacing w:beforeAutospacing="0" w:afterAutospacing="0" w:line="500" w:lineRule="exact"/>
        <w:ind w:firstLine="482" w:firstLineChars="200"/>
        <w:rPr>
          <w:rFonts w:hint="default" w:cs="宋体"/>
          <w:color w:val="333333"/>
        </w:rPr>
      </w:pPr>
      <w:r>
        <w:rPr>
          <w:rFonts w:cs="宋体"/>
          <w:color w:val="333333"/>
          <w:shd w:val="clear" w:color="auto" w:fill="FFFFFF"/>
        </w:rPr>
        <w:t>（一）与专业机构合作参与投资基金对公司的影响</w:t>
      </w:r>
    </w:p>
    <w:p>
      <w:pPr>
        <w:pStyle w:val="9"/>
        <w:shd w:val="clear" w:color="auto" w:fill="FFFFFF"/>
        <w:spacing w:before="0" w:beforeAutospacing="0" w:after="0" w:afterAutospacing="0" w:line="500" w:lineRule="exact"/>
        <w:ind w:firstLine="480" w:firstLineChars="200"/>
        <w:jc w:val="both"/>
        <w:rPr>
          <w:rFonts w:hint="eastAsia"/>
          <w:highlight w:val="none"/>
          <w:shd w:val="clear" w:color="auto" w:fill="FFFFFF"/>
        </w:rPr>
      </w:pPr>
      <w:r>
        <w:rPr>
          <w:rFonts w:hint="eastAsia"/>
          <w:highlight w:val="none"/>
          <w:shd w:val="clear" w:color="auto" w:fill="FFFFFF"/>
        </w:rPr>
        <w:t>数字经济已经成为中国乃至世界经济核心引擎，公司与专业机构合作参与投资</w:t>
      </w:r>
      <w:r>
        <w:rPr>
          <w:rFonts w:hint="eastAsia" w:asciiTheme="minorEastAsia" w:hAnsiTheme="minorEastAsia" w:eastAsiaTheme="minorEastAsia"/>
          <w:kern w:val="0"/>
          <w:sz w:val="24"/>
          <w:szCs w:val="24"/>
        </w:rPr>
        <w:t>太初（无锡）电子科技有限公司</w:t>
      </w:r>
      <w:r>
        <w:rPr>
          <w:rFonts w:hint="eastAsia"/>
          <w:highlight w:val="none"/>
          <w:shd w:val="clear" w:color="auto" w:fill="FFFFFF"/>
        </w:rPr>
        <w:t>，是公司看好国产算力的自主生态圈，在投资实践中积极探索，为公司数字化转型迈出坚实一步，培育公司创新动能。</w:t>
      </w:r>
    </w:p>
    <w:p>
      <w:pPr>
        <w:pStyle w:val="9"/>
        <w:shd w:val="clear" w:color="auto" w:fill="FFFFFF"/>
        <w:spacing w:before="0" w:beforeAutospacing="0" w:after="0" w:afterAutospacing="0" w:line="500" w:lineRule="exact"/>
        <w:ind w:firstLine="480" w:firstLineChars="200"/>
        <w:jc w:val="both"/>
        <w:rPr>
          <w:color w:val="333333"/>
        </w:rPr>
      </w:pPr>
      <w:r>
        <w:rPr>
          <w:rFonts w:hint="eastAsia"/>
          <w:color w:val="333333"/>
          <w:shd w:val="clear" w:color="auto" w:fill="FFFFFF"/>
        </w:rPr>
        <w:t>本次对外投资的资金来源为公司自有资金，不影响公司正常的生产经营活动的开展，对公司当期和未来财务状况和经营成果不存在重大不利影响，亦不存在损害公司及股东利益的情形。</w:t>
      </w:r>
    </w:p>
    <w:p>
      <w:pPr>
        <w:pStyle w:val="4"/>
        <w:widowControl/>
        <w:shd w:val="clear" w:color="auto" w:fill="FFFFFF"/>
        <w:spacing w:beforeAutospacing="0" w:afterAutospacing="0" w:line="500" w:lineRule="exact"/>
        <w:ind w:firstLine="482" w:firstLineChars="200"/>
        <w:rPr>
          <w:rFonts w:hint="default" w:cs="宋体"/>
          <w:color w:val="333333"/>
          <w:shd w:val="clear" w:color="auto" w:fill="FFFFFF"/>
        </w:rPr>
      </w:pPr>
      <w:r>
        <w:rPr>
          <w:rFonts w:cs="宋体"/>
          <w:color w:val="333333"/>
          <w:shd w:val="clear" w:color="auto" w:fill="FFFFFF"/>
        </w:rPr>
        <w:t>（二）与专业机构合作参与投资基金的风险</w:t>
      </w:r>
    </w:p>
    <w:p>
      <w:pPr>
        <w:pStyle w:val="9"/>
        <w:shd w:val="clear" w:color="auto" w:fill="FFFFFF"/>
        <w:spacing w:before="0" w:beforeAutospacing="0" w:after="0" w:afterAutospacing="0" w:line="500" w:lineRule="exact"/>
        <w:ind w:firstLine="480" w:firstLineChars="200"/>
        <w:jc w:val="both"/>
        <w:rPr>
          <w:color w:val="333333"/>
        </w:rPr>
      </w:pPr>
      <w:r>
        <w:rPr>
          <w:rFonts w:hint="eastAsia"/>
          <w:color w:val="333333"/>
          <w:shd w:val="clear" w:color="auto" w:fill="FFFFFF"/>
        </w:rPr>
        <w:t>（1）合伙企业能否对预期的投资标的完成投资及实现投资目的存在不确定性，公司将根据相关规定要求结合投资基金的投资进展履行相应信息披露义务。</w:t>
      </w:r>
    </w:p>
    <w:p>
      <w:pPr>
        <w:pStyle w:val="9"/>
        <w:shd w:val="clear" w:color="auto" w:fill="FFFFFF"/>
        <w:spacing w:before="0" w:beforeAutospacing="0" w:after="0" w:afterAutospacing="0" w:line="500" w:lineRule="exact"/>
        <w:ind w:firstLine="480" w:firstLineChars="200"/>
        <w:jc w:val="both"/>
        <w:rPr>
          <w:b/>
          <w:bCs/>
          <w:kern w:val="2"/>
          <w:szCs w:val="22"/>
        </w:rPr>
      </w:pPr>
      <w:r>
        <w:rPr>
          <w:rFonts w:hint="eastAsia"/>
          <w:color w:val="333333"/>
          <w:shd w:val="clear" w:color="auto" w:fill="FFFFFF"/>
        </w:rPr>
        <w:t>（2）合伙企业的投资项目在运营过程中，将可能受到宏观经济、行业政策和市场周期、投资标的项目经营管理、交易方案等多种因素影响，可能导致未来 合伙企业出现投资效益不达预期或亏损的风险。</w:t>
      </w:r>
    </w:p>
    <w:p>
      <w:pPr>
        <w:pStyle w:val="9"/>
        <w:numPr>
          <w:ilvl w:val="0"/>
          <w:numId w:val="1"/>
        </w:numPr>
        <w:shd w:val="clear" w:color="auto" w:fill="FFFFFF"/>
        <w:spacing w:before="0" w:beforeAutospacing="0" w:after="0" w:afterAutospacing="0" w:line="420" w:lineRule="atLeast"/>
        <w:ind w:firstLine="472" w:firstLineChars="196"/>
        <w:jc w:val="both"/>
        <w:rPr>
          <w:b/>
          <w:bCs/>
          <w:kern w:val="2"/>
          <w:szCs w:val="22"/>
        </w:rPr>
      </w:pPr>
      <w:r>
        <w:rPr>
          <w:rFonts w:hint="eastAsia"/>
          <w:b/>
          <w:bCs/>
          <w:kern w:val="2"/>
          <w:szCs w:val="22"/>
        </w:rPr>
        <w:t>其他说明</w:t>
      </w:r>
    </w:p>
    <w:p>
      <w:pPr>
        <w:pStyle w:val="9"/>
        <w:numPr>
          <w:ilvl w:val="0"/>
          <w:numId w:val="3"/>
        </w:numPr>
        <w:shd w:val="clear" w:color="auto" w:fill="FFFFFF"/>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公司本次合作事项不会导致同业竞争或关联交易。</w:t>
      </w:r>
    </w:p>
    <w:p>
      <w:pPr>
        <w:pStyle w:val="9"/>
        <w:numPr>
          <w:ilvl w:val="0"/>
          <w:numId w:val="3"/>
        </w:numPr>
        <w:shd w:val="clear" w:color="auto" w:fill="FFFFFF"/>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本次与专业投资机构共同投资前十二个月内不存在将超募资金用于永久性补充流动资金的情形。</w:t>
      </w:r>
    </w:p>
    <w:p>
      <w:pPr>
        <w:pStyle w:val="9"/>
        <w:numPr>
          <w:ilvl w:val="0"/>
          <w:numId w:val="3"/>
        </w:numPr>
        <w:shd w:val="clear" w:color="auto" w:fill="FFFFFF"/>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公司将积极跟进本次投资事项进展情况，严格按照相关规定履行信息披露义务，敬请广大投资者注意投资风险。</w:t>
      </w:r>
    </w:p>
    <w:p>
      <w:pPr>
        <w:pStyle w:val="9"/>
        <w:numPr>
          <w:ilvl w:val="0"/>
          <w:numId w:val="1"/>
        </w:numPr>
        <w:shd w:val="clear" w:color="auto" w:fill="FFFFFF"/>
        <w:spacing w:before="0" w:beforeAutospacing="0" w:after="0" w:afterAutospacing="0" w:line="420" w:lineRule="atLeast"/>
        <w:ind w:firstLine="472" w:firstLineChars="196"/>
        <w:jc w:val="both"/>
        <w:rPr>
          <w:rFonts w:hint="eastAsia"/>
          <w:b/>
          <w:bCs/>
          <w:kern w:val="2"/>
          <w:szCs w:val="22"/>
          <w:lang w:eastAsia="zh-CN"/>
        </w:rPr>
      </w:pPr>
      <w:r>
        <w:rPr>
          <w:rFonts w:hint="eastAsia"/>
          <w:b/>
          <w:bCs/>
          <w:kern w:val="2"/>
          <w:szCs w:val="22"/>
          <w:lang w:eastAsia="zh-CN"/>
        </w:rPr>
        <w:t>备案文件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default"/>
          <w:color w:val="333333"/>
          <w:shd w:val="clear" w:color="auto" w:fill="FFFFFF"/>
          <w:lang w:val="en-US" w:eastAsia="zh-CN"/>
        </w:rPr>
      </w:pPr>
      <w:r>
        <w:rPr>
          <w:rFonts w:hint="eastAsia"/>
          <w:color w:val="333333"/>
          <w:shd w:val="clear" w:color="auto" w:fill="FFFFFF"/>
          <w:lang w:val="en-US" w:eastAsia="zh-CN"/>
        </w:rPr>
        <w:t>1、</w:t>
      </w:r>
      <w:r>
        <w:rPr>
          <w:rFonts w:hint="eastAsia"/>
          <w:color w:val="333333"/>
          <w:shd w:val="clear" w:color="auto" w:fill="FFFFFF"/>
        </w:rPr>
        <w:t>《共青城龙芯创零创业投资基金合伙企业（有限合伙）合伙协议》</w:t>
      </w:r>
    </w:p>
    <w:p>
      <w:pPr>
        <w:pStyle w:val="9"/>
        <w:numPr>
          <w:ilvl w:val="0"/>
          <w:numId w:val="0"/>
        </w:numPr>
        <w:shd w:val="clear" w:color="auto" w:fill="FFFFFF"/>
        <w:spacing w:before="0" w:beforeAutospacing="0" w:after="0" w:afterAutospacing="0" w:line="500" w:lineRule="exact"/>
        <w:jc w:val="both"/>
        <w:rPr>
          <w:rFonts w:hint="eastAsia"/>
          <w:b/>
          <w:bCs/>
          <w:kern w:val="2"/>
          <w:szCs w:val="22"/>
          <w:lang w:eastAsia="zh-CN"/>
        </w:rPr>
      </w:pPr>
    </w:p>
    <w:p>
      <w:pPr>
        <w:autoSpaceDE w:val="0"/>
        <w:autoSpaceDN w:val="0"/>
        <w:adjustRightInd w:val="0"/>
        <w:spacing w:line="50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pPr>
        <w:autoSpaceDE w:val="0"/>
        <w:autoSpaceDN w:val="0"/>
        <w:adjustRightInd w:val="0"/>
        <w:spacing w:line="500" w:lineRule="exact"/>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二〇二三年十二月</w:t>
      </w:r>
      <w:r>
        <w:rPr>
          <w:rFonts w:hint="eastAsia" w:asciiTheme="minorEastAsia" w:hAnsiTheme="minorEastAsia" w:eastAsiaTheme="minorEastAsia"/>
          <w:kern w:val="0"/>
          <w:sz w:val="24"/>
          <w:szCs w:val="24"/>
          <w:lang w:eastAsia="zh-CN"/>
        </w:rPr>
        <w:t>二十二</w:t>
      </w:r>
      <w:r>
        <w:rPr>
          <w:rFonts w:hint="eastAsia" w:asciiTheme="minorEastAsia" w:hAnsiTheme="minorEastAsia" w:eastAsiaTheme="minorEastAsia"/>
          <w:kern w:val="0"/>
          <w:sz w:val="24"/>
          <w:szCs w:val="24"/>
        </w:rPr>
        <w:t>日</w:t>
      </w:r>
    </w:p>
    <w:sectPr>
      <w:pgSz w:w="11906" w:h="16838"/>
      <w:pgMar w:top="1418"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0111"/>
    <w:multiLevelType w:val="singleLevel"/>
    <w:tmpl w:val="86FE0111"/>
    <w:lvl w:ilvl="0" w:tentative="0">
      <w:start w:val="1"/>
      <w:numFmt w:val="decimal"/>
      <w:suff w:val="nothing"/>
      <w:lvlText w:val="%1、"/>
      <w:lvlJc w:val="left"/>
    </w:lvl>
  </w:abstractNum>
  <w:abstractNum w:abstractNumId="1">
    <w:nsid w:val="C1D11AE8"/>
    <w:multiLevelType w:val="singleLevel"/>
    <w:tmpl w:val="C1D11AE8"/>
    <w:lvl w:ilvl="0" w:tentative="0">
      <w:start w:val="1"/>
      <w:numFmt w:val="chineseCounting"/>
      <w:suff w:val="nothing"/>
      <w:lvlText w:val="%1、"/>
      <w:lvlJc w:val="left"/>
      <w:rPr>
        <w:rFonts w:hint="eastAsia"/>
      </w:rPr>
    </w:lvl>
  </w:abstractNum>
  <w:abstractNum w:abstractNumId="2">
    <w:nsid w:val="E011B1F3"/>
    <w:multiLevelType w:val="singleLevel"/>
    <w:tmpl w:val="E011B1F3"/>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071CF"/>
    <w:rsid w:val="00011431"/>
    <w:rsid w:val="00030938"/>
    <w:rsid w:val="0005344A"/>
    <w:rsid w:val="00072F72"/>
    <w:rsid w:val="00073ED7"/>
    <w:rsid w:val="00077B55"/>
    <w:rsid w:val="000864CE"/>
    <w:rsid w:val="000A59A0"/>
    <w:rsid w:val="000C1B33"/>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B2A"/>
    <w:rsid w:val="001C4E9E"/>
    <w:rsid w:val="001E7C24"/>
    <w:rsid w:val="00245473"/>
    <w:rsid w:val="00257A38"/>
    <w:rsid w:val="00260090"/>
    <w:rsid w:val="00287EF9"/>
    <w:rsid w:val="00290EAD"/>
    <w:rsid w:val="002B7A5A"/>
    <w:rsid w:val="002D4DB3"/>
    <w:rsid w:val="002D5BE1"/>
    <w:rsid w:val="002D792A"/>
    <w:rsid w:val="00301B70"/>
    <w:rsid w:val="00331750"/>
    <w:rsid w:val="0034603E"/>
    <w:rsid w:val="0036037A"/>
    <w:rsid w:val="0037195C"/>
    <w:rsid w:val="003B336E"/>
    <w:rsid w:val="003C7D52"/>
    <w:rsid w:val="003D122A"/>
    <w:rsid w:val="003D4FDA"/>
    <w:rsid w:val="003D6B08"/>
    <w:rsid w:val="003D76D1"/>
    <w:rsid w:val="003E3AAF"/>
    <w:rsid w:val="00407607"/>
    <w:rsid w:val="00416B62"/>
    <w:rsid w:val="004177B7"/>
    <w:rsid w:val="00422395"/>
    <w:rsid w:val="004311AF"/>
    <w:rsid w:val="00477C46"/>
    <w:rsid w:val="00481418"/>
    <w:rsid w:val="00493CDA"/>
    <w:rsid w:val="004B6727"/>
    <w:rsid w:val="004D6190"/>
    <w:rsid w:val="004E7761"/>
    <w:rsid w:val="004F40B5"/>
    <w:rsid w:val="004F782E"/>
    <w:rsid w:val="00513CD5"/>
    <w:rsid w:val="00515F86"/>
    <w:rsid w:val="005205A1"/>
    <w:rsid w:val="0052141F"/>
    <w:rsid w:val="00521776"/>
    <w:rsid w:val="00523EE7"/>
    <w:rsid w:val="00524174"/>
    <w:rsid w:val="005262A3"/>
    <w:rsid w:val="00533D5E"/>
    <w:rsid w:val="005413CB"/>
    <w:rsid w:val="005509DA"/>
    <w:rsid w:val="0056077C"/>
    <w:rsid w:val="00563FDE"/>
    <w:rsid w:val="0056582B"/>
    <w:rsid w:val="00575FD2"/>
    <w:rsid w:val="00583371"/>
    <w:rsid w:val="005C3288"/>
    <w:rsid w:val="005C6441"/>
    <w:rsid w:val="005D1C24"/>
    <w:rsid w:val="00602F1F"/>
    <w:rsid w:val="0060371E"/>
    <w:rsid w:val="00613DFD"/>
    <w:rsid w:val="00624B96"/>
    <w:rsid w:val="00630782"/>
    <w:rsid w:val="0065306D"/>
    <w:rsid w:val="00663FE3"/>
    <w:rsid w:val="00666BB4"/>
    <w:rsid w:val="00677B15"/>
    <w:rsid w:val="006822AB"/>
    <w:rsid w:val="00697179"/>
    <w:rsid w:val="006D0149"/>
    <w:rsid w:val="006D15CC"/>
    <w:rsid w:val="006E6AFD"/>
    <w:rsid w:val="006F311D"/>
    <w:rsid w:val="006F3BB5"/>
    <w:rsid w:val="006F59DF"/>
    <w:rsid w:val="00700436"/>
    <w:rsid w:val="00704E4B"/>
    <w:rsid w:val="0071197D"/>
    <w:rsid w:val="00737F5E"/>
    <w:rsid w:val="0074750C"/>
    <w:rsid w:val="00757D85"/>
    <w:rsid w:val="0079740D"/>
    <w:rsid w:val="0079769C"/>
    <w:rsid w:val="007B6971"/>
    <w:rsid w:val="007C0D39"/>
    <w:rsid w:val="007D4C94"/>
    <w:rsid w:val="007D5132"/>
    <w:rsid w:val="007E2872"/>
    <w:rsid w:val="007F3C54"/>
    <w:rsid w:val="008134F6"/>
    <w:rsid w:val="00822E8C"/>
    <w:rsid w:val="00824DED"/>
    <w:rsid w:val="00826D65"/>
    <w:rsid w:val="00826D6E"/>
    <w:rsid w:val="00832685"/>
    <w:rsid w:val="008334EC"/>
    <w:rsid w:val="00841BE8"/>
    <w:rsid w:val="00847235"/>
    <w:rsid w:val="00862A46"/>
    <w:rsid w:val="008720A2"/>
    <w:rsid w:val="008C3C6D"/>
    <w:rsid w:val="008D13DD"/>
    <w:rsid w:val="008D4E62"/>
    <w:rsid w:val="008E739A"/>
    <w:rsid w:val="008F1103"/>
    <w:rsid w:val="00921C1A"/>
    <w:rsid w:val="00925B42"/>
    <w:rsid w:val="0093215B"/>
    <w:rsid w:val="00932963"/>
    <w:rsid w:val="00941059"/>
    <w:rsid w:val="0095138F"/>
    <w:rsid w:val="00952E83"/>
    <w:rsid w:val="0095703C"/>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2138"/>
    <w:rsid w:val="00AC3C01"/>
    <w:rsid w:val="00AC591E"/>
    <w:rsid w:val="00AC63A0"/>
    <w:rsid w:val="00AC641F"/>
    <w:rsid w:val="00AD43A4"/>
    <w:rsid w:val="00AF376D"/>
    <w:rsid w:val="00B315E6"/>
    <w:rsid w:val="00B34194"/>
    <w:rsid w:val="00B4132A"/>
    <w:rsid w:val="00B54D64"/>
    <w:rsid w:val="00B6381E"/>
    <w:rsid w:val="00B66744"/>
    <w:rsid w:val="00B82ED3"/>
    <w:rsid w:val="00B9203C"/>
    <w:rsid w:val="00B93FC3"/>
    <w:rsid w:val="00BA6BC2"/>
    <w:rsid w:val="00BA7F76"/>
    <w:rsid w:val="00BB3F3F"/>
    <w:rsid w:val="00BC56C1"/>
    <w:rsid w:val="00BF13AE"/>
    <w:rsid w:val="00BF23F9"/>
    <w:rsid w:val="00BF29C0"/>
    <w:rsid w:val="00C019E6"/>
    <w:rsid w:val="00C21C42"/>
    <w:rsid w:val="00C428C4"/>
    <w:rsid w:val="00C506F0"/>
    <w:rsid w:val="00C50F47"/>
    <w:rsid w:val="00C55B84"/>
    <w:rsid w:val="00C60F60"/>
    <w:rsid w:val="00C6218A"/>
    <w:rsid w:val="00C673AC"/>
    <w:rsid w:val="00C75216"/>
    <w:rsid w:val="00C80118"/>
    <w:rsid w:val="00CB7DB4"/>
    <w:rsid w:val="00CF0030"/>
    <w:rsid w:val="00D0411A"/>
    <w:rsid w:val="00D12795"/>
    <w:rsid w:val="00D168F9"/>
    <w:rsid w:val="00D341A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6615D"/>
    <w:rsid w:val="00E7656F"/>
    <w:rsid w:val="00E85137"/>
    <w:rsid w:val="00EB21D5"/>
    <w:rsid w:val="00EB6C78"/>
    <w:rsid w:val="00EE7C11"/>
    <w:rsid w:val="00F01039"/>
    <w:rsid w:val="00F05FA4"/>
    <w:rsid w:val="00F0735F"/>
    <w:rsid w:val="00F54AEF"/>
    <w:rsid w:val="00F70C8D"/>
    <w:rsid w:val="00F758CC"/>
    <w:rsid w:val="00F8199E"/>
    <w:rsid w:val="00F96CE1"/>
    <w:rsid w:val="00FA3497"/>
    <w:rsid w:val="00FB6F06"/>
    <w:rsid w:val="00FC747A"/>
    <w:rsid w:val="00FC798E"/>
    <w:rsid w:val="03393105"/>
    <w:rsid w:val="066B5CCB"/>
    <w:rsid w:val="0B2621C1"/>
    <w:rsid w:val="0C0149DC"/>
    <w:rsid w:val="0F4277E5"/>
    <w:rsid w:val="0FAD0AA8"/>
    <w:rsid w:val="0FB506BC"/>
    <w:rsid w:val="197725C2"/>
    <w:rsid w:val="1A807414"/>
    <w:rsid w:val="1B4013CE"/>
    <w:rsid w:val="1E132EAF"/>
    <w:rsid w:val="1F3031B6"/>
    <w:rsid w:val="21D61D17"/>
    <w:rsid w:val="23CD5478"/>
    <w:rsid w:val="241C1F5B"/>
    <w:rsid w:val="24DE7AC4"/>
    <w:rsid w:val="25582094"/>
    <w:rsid w:val="25875AFA"/>
    <w:rsid w:val="27BD155C"/>
    <w:rsid w:val="298C7B83"/>
    <w:rsid w:val="29FB2613"/>
    <w:rsid w:val="2A3C3357"/>
    <w:rsid w:val="2B6E42C0"/>
    <w:rsid w:val="2B8C644B"/>
    <w:rsid w:val="2D1B36F8"/>
    <w:rsid w:val="2D8D5C78"/>
    <w:rsid w:val="30D927CE"/>
    <w:rsid w:val="31B616D4"/>
    <w:rsid w:val="34A55F9D"/>
    <w:rsid w:val="374427E3"/>
    <w:rsid w:val="3A105C66"/>
    <w:rsid w:val="3AC3717D"/>
    <w:rsid w:val="40307062"/>
    <w:rsid w:val="41590B3D"/>
    <w:rsid w:val="43C7725B"/>
    <w:rsid w:val="443F4277"/>
    <w:rsid w:val="463F1DAD"/>
    <w:rsid w:val="465D6E1C"/>
    <w:rsid w:val="470B7B8C"/>
    <w:rsid w:val="4893018E"/>
    <w:rsid w:val="4C0849EF"/>
    <w:rsid w:val="4D155616"/>
    <w:rsid w:val="4FD718EB"/>
    <w:rsid w:val="506B7C43"/>
    <w:rsid w:val="5139564B"/>
    <w:rsid w:val="54BE6593"/>
    <w:rsid w:val="552F7823"/>
    <w:rsid w:val="55546EF7"/>
    <w:rsid w:val="556C195C"/>
    <w:rsid w:val="59527BF2"/>
    <w:rsid w:val="59B12B6A"/>
    <w:rsid w:val="5A470DD9"/>
    <w:rsid w:val="5B266C40"/>
    <w:rsid w:val="5CC76201"/>
    <w:rsid w:val="619743F4"/>
    <w:rsid w:val="630C7063"/>
    <w:rsid w:val="6370314E"/>
    <w:rsid w:val="66E55C01"/>
    <w:rsid w:val="6A6E23B2"/>
    <w:rsid w:val="6AA42794"/>
    <w:rsid w:val="6B9616EE"/>
    <w:rsid w:val="6D4135AD"/>
    <w:rsid w:val="6EF2535F"/>
    <w:rsid w:val="703A6FBE"/>
    <w:rsid w:val="72534B72"/>
    <w:rsid w:val="740833A5"/>
    <w:rsid w:val="7739657F"/>
    <w:rsid w:val="773F135E"/>
    <w:rsid w:val="78986F77"/>
    <w:rsid w:val="799F4F4C"/>
    <w:rsid w:val="79DF4732"/>
    <w:rsid w:val="7A21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b/>
      <w:bCs/>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semiHidden/>
    <w:unhideWhenUsed/>
    <w:qFormat/>
    <w:uiPriority w:val="0"/>
    <w:pPr>
      <w:spacing w:line="600" w:lineRule="atLeast"/>
      <w:ind w:firstLine="560" w:firstLineChars="200"/>
    </w:pPr>
    <w:rPr>
      <w:rFonts w:ascii="Times New Roman" w:hAnsi="Times New Roman"/>
      <w:sz w:val="28"/>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unhideWhenUsed/>
    <w:qFormat/>
    <w:uiPriority w:val="99"/>
    <w:rPr>
      <w:color w:val="0000FF"/>
      <w:u w:val="single"/>
    </w:rPr>
  </w:style>
  <w:style w:type="character" w:customStyle="1" w:styleId="15">
    <w:name w:val="页眉 Char"/>
    <w:basedOn w:val="12"/>
    <w:link w:val="8"/>
    <w:qFormat/>
    <w:uiPriority w:val="99"/>
    <w:rPr>
      <w:rFonts w:ascii="Calibri" w:hAnsi="Calibri" w:eastAsia="宋体" w:cs="Times New Roman"/>
      <w:sz w:val="18"/>
      <w:szCs w:val="18"/>
    </w:rPr>
  </w:style>
  <w:style w:type="character" w:customStyle="1" w:styleId="16">
    <w:name w:val="页脚 Char"/>
    <w:basedOn w:val="12"/>
    <w:link w:val="7"/>
    <w:qFormat/>
    <w:uiPriority w:val="99"/>
    <w:rPr>
      <w:rFonts w:ascii="Calibri" w:hAnsi="Calibri" w:eastAsia="宋体" w:cs="Times New Roman"/>
      <w:sz w:val="18"/>
      <w:szCs w:val="18"/>
    </w:rPr>
  </w:style>
  <w:style w:type="character" w:customStyle="1" w:styleId="17">
    <w:name w:val="正文文本缩进 Char"/>
    <w:basedOn w:val="12"/>
    <w:link w:val="5"/>
    <w:semiHidden/>
    <w:qFormat/>
    <w:uiPriority w:val="0"/>
    <w:rPr>
      <w:rFonts w:ascii="Times New Roman" w:hAnsi="Times New Roman" w:eastAsia="宋体" w:cs="Times New Roman"/>
      <w:sz w:val="28"/>
      <w:szCs w:val="24"/>
    </w:rPr>
  </w:style>
  <w:style w:type="character" w:customStyle="1" w:styleId="18">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FD8E-5FE0-479D-8774-EE259633F2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532</Words>
  <Characters>3037</Characters>
  <Lines>25</Lines>
  <Paragraphs>7</Paragraphs>
  <TotalTime>4</TotalTime>
  <ScaleCrop>false</ScaleCrop>
  <LinksUpToDate>false</LinksUpToDate>
  <CharactersWithSpaces>3562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2023-12-21T09:27:00Z</dcterms:created>
  <dc:creator>孙献</dc:creator>
  <cp:lastModifiedBy>WSY</cp:lastModifiedBy>
  <cp:lastPrinted>2018-04-24T01:50:00Z</cp:lastPrinted>
  <dcterms:modified xsi:type="dcterms:W3CDTF">2023-12-21T10:01:55Z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A3C2B4ADE22A43CBBBC8EA7E936F74E2</vt:lpwstr>
  </property>
</Properties>
</file>