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102" w:firstLineChars="49"/>
        <w:rPr>
          <w:rFonts w:hint="default" w:ascii="宋体" w:hAnsi="宋体" w:eastAsia="宋体" w:cs="宋体"/>
          <w:bCs/>
          <w:kern w:val="0"/>
          <w:szCs w:val="21"/>
          <w:lang w:val="en-US" w:eastAsia="zh-CN"/>
        </w:rPr>
      </w:pPr>
      <w:bookmarkStart w:id="0" w:name="_GoBack"/>
      <w:bookmarkEnd w:id="0"/>
      <w:r>
        <w:rPr>
          <w:rFonts w:hint="eastAsia" w:ascii="宋体" w:hAnsi="宋体" w:eastAsia="宋体" w:cs="宋体"/>
          <w:bCs/>
          <w:kern w:val="0"/>
          <w:szCs w:val="21"/>
        </w:rPr>
        <w:t>证券代码：002042                证券简称：华孚时尚                公告编号：202</w:t>
      </w:r>
      <w:r>
        <w:rPr>
          <w:rFonts w:hint="eastAsia" w:ascii="宋体" w:hAnsi="宋体" w:eastAsia="宋体" w:cs="宋体"/>
          <w:bCs/>
          <w:kern w:val="0"/>
          <w:szCs w:val="21"/>
          <w:lang w:val="en-US" w:eastAsia="zh-CN"/>
        </w:rPr>
        <w:t>3</w:t>
      </w:r>
      <w:r>
        <w:rPr>
          <w:rFonts w:hint="eastAsia" w:ascii="宋体" w:hAnsi="宋体" w:eastAsia="宋体" w:cs="宋体"/>
          <w:bCs/>
          <w:kern w:val="0"/>
          <w:szCs w:val="21"/>
        </w:rPr>
        <w:t>-</w:t>
      </w:r>
      <w:r>
        <w:rPr>
          <w:rFonts w:hint="eastAsia" w:ascii="宋体" w:hAnsi="宋体" w:eastAsia="宋体" w:cs="宋体"/>
          <w:bCs/>
          <w:kern w:val="0"/>
          <w:szCs w:val="21"/>
          <w:lang w:val="en-US" w:eastAsia="zh-CN"/>
        </w:rPr>
        <w:t>5</w:t>
      </w:r>
      <w:r>
        <w:rPr>
          <w:rFonts w:hint="eastAsia" w:ascii="宋体" w:hAnsi="宋体" w:eastAsia="宋体" w:cs="宋体"/>
          <w:bCs/>
          <w:kern w:val="0"/>
          <w:szCs w:val="21"/>
          <w:lang w:val="en-US" w:eastAsia="zh-CN"/>
        </w:rPr>
        <w:t>3</w:t>
      </w:r>
    </w:p>
    <w:p>
      <w:pPr>
        <w:jc w:val="center"/>
        <w:rPr>
          <w:rFonts w:hint="eastAsia" w:ascii="宋体" w:hAnsi="宋体" w:eastAsia="宋体" w:cs="宋体"/>
          <w:b/>
          <w:bCs/>
          <w:sz w:val="8"/>
        </w:rPr>
      </w:pPr>
    </w:p>
    <w:p>
      <w:pPr>
        <w:jc w:val="center"/>
        <w:rPr>
          <w:rFonts w:hint="eastAsia" w:ascii="宋体" w:hAnsi="宋体" w:eastAsia="宋体" w:cs="宋体"/>
          <w:b/>
          <w:bCs/>
          <w:sz w:val="36"/>
        </w:rPr>
      </w:pPr>
      <w:r>
        <w:rPr>
          <w:rFonts w:hint="eastAsia" w:ascii="宋体" w:hAnsi="宋体" w:eastAsia="宋体" w:cs="宋体"/>
          <w:b/>
          <w:bCs/>
          <w:sz w:val="36"/>
        </w:rPr>
        <w:t>华孚时尚股份有限公司</w:t>
      </w:r>
    </w:p>
    <w:p>
      <w:pPr>
        <w:jc w:val="center"/>
        <w:outlineLvl w:val="0"/>
        <w:rPr>
          <w:rFonts w:hint="eastAsia" w:ascii="宋体" w:hAnsi="宋体" w:eastAsia="宋体" w:cs="宋体"/>
          <w:b/>
          <w:bCs/>
          <w:sz w:val="36"/>
        </w:rPr>
      </w:pPr>
      <w:r>
        <w:rPr>
          <w:rFonts w:hint="eastAsia" w:ascii="宋体" w:hAnsi="宋体" w:eastAsia="宋体" w:cs="宋体"/>
          <w:b/>
          <w:bCs/>
          <w:sz w:val="36"/>
          <w:lang w:eastAsia="zh-CN"/>
        </w:rPr>
        <w:t>2023年第一次临时</w:t>
      </w:r>
      <w:r>
        <w:rPr>
          <w:rFonts w:hint="eastAsia" w:ascii="宋体" w:hAnsi="宋体" w:eastAsia="宋体" w:cs="宋体"/>
          <w:b/>
          <w:bCs/>
          <w:sz w:val="36"/>
        </w:rPr>
        <w:t>股东大会决议公告</w:t>
      </w:r>
    </w:p>
    <w:p>
      <w:pPr>
        <w:spacing w:line="400" w:lineRule="exact"/>
        <w:ind w:left="284" w:firstLine="40" w:firstLineChars="201"/>
        <w:rPr>
          <w:rFonts w:hint="eastAsia" w:ascii="宋体" w:hAnsi="宋体" w:eastAsia="宋体" w:cs="宋体"/>
          <w:sz w:val="2"/>
        </w:rPr>
      </w:pPr>
    </w:p>
    <w:p>
      <w:pPr>
        <w:spacing w:line="400" w:lineRule="exact"/>
        <w:ind w:left="284" w:firstLine="482" w:firstLineChars="201"/>
        <w:rPr>
          <w:rFonts w:hint="eastAsia" w:ascii="宋体" w:hAnsi="宋体" w:eastAsia="宋体" w:cs="宋体"/>
          <w:sz w:val="24"/>
        </w:rPr>
      </w:pPr>
      <w:r>
        <w:rPr>
          <w:rFonts w:hint="eastAsia" w:ascii="宋体" w:hAnsi="宋体" w:eastAsia="宋体" w:cs="宋体"/>
          <w:sz w:val="24"/>
        </w:rPr>
        <w:t>本公司及董事会全体成员保证信息披露的内容真实、准确、完整，没有虚假记载、误导性陈述或重大遗漏。</w:t>
      </w:r>
    </w:p>
    <w:p>
      <w:pPr>
        <w:spacing w:line="480" w:lineRule="exact"/>
        <w:ind w:left="559"/>
        <w:rPr>
          <w:rFonts w:hint="eastAsia" w:ascii="宋体" w:hAnsi="宋体" w:eastAsia="宋体" w:cs="宋体"/>
          <w:b/>
          <w:bCs/>
          <w:sz w:val="24"/>
        </w:rPr>
      </w:pPr>
      <w:r>
        <w:rPr>
          <w:rFonts w:hint="eastAsia" w:ascii="宋体" w:hAnsi="宋体" w:eastAsia="宋体" w:cs="宋体"/>
          <w:b/>
          <w:bCs/>
          <w:sz w:val="24"/>
        </w:rPr>
        <w:t>重要提示：</w:t>
      </w:r>
    </w:p>
    <w:p>
      <w:pPr>
        <w:spacing w:line="480" w:lineRule="exact"/>
        <w:ind w:left="-27" w:leftChars="-13" w:firstLine="448" w:firstLineChars="187"/>
        <w:rPr>
          <w:rFonts w:hint="eastAsia" w:ascii="宋体" w:hAnsi="宋体" w:eastAsia="宋体" w:cs="宋体"/>
          <w:sz w:val="24"/>
        </w:rPr>
      </w:pPr>
      <w:r>
        <w:rPr>
          <w:rFonts w:hint="eastAsia" w:ascii="宋体" w:hAnsi="宋体" w:eastAsia="宋体" w:cs="宋体"/>
          <w:sz w:val="24"/>
        </w:rPr>
        <w:t>1、本次股东大会没有出现否决提案的情况；</w:t>
      </w:r>
    </w:p>
    <w:p>
      <w:pPr>
        <w:spacing w:line="480" w:lineRule="exact"/>
        <w:ind w:left="-27" w:leftChars="-13" w:firstLine="448" w:firstLineChars="187"/>
        <w:rPr>
          <w:rFonts w:hint="eastAsia" w:ascii="宋体" w:hAnsi="宋体" w:eastAsia="宋体" w:cs="宋体"/>
          <w:sz w:val="24"/>
        </w:rPr>
      </w:pPr>
      <w:r>
        <w:rPr>
          <w:rFonts w:hint="eastAsia" w:ascii="宋体" w:hAnsi="宋体" w:eastAsia="宋体" w:cs="宋体"/>
          <w:sz w:val="24"/>
        </w:rPr>
        <w:t xml:space="preserve">2、本次股东大会不涉及变更以往股东大会已通过的决议； </w:t>
      </w:r>
    </w:p>
    <w:p>
      <w:pPr>
        <w:spacing w:line="480" w:lineRule="exact"/>
        <w:ind w:left="-132" w:leftChars="-63" w:firstLine="568" w:firstLineChars="237"/>
        <w:rPr>
          <w:rFonts w:hint="eastAsia" w:ascii="宋体" w:hAnsi="宋体" w:eastAsia="宋体" w:cs="宋体"/>
          <w:sz w:val="24"/>
        </w:rPr>
      </w:pPr>
      <w:r>
        <w:rPr>
          <w:rFonts w:hint="eastAsia" w:ascii="宋体" w:hAnsi="宋体" w:eastAsia="宋体" w:cs="宋体"/>
          <w:sz w:val="24"/>
        </w:rPr>
        <w:t>3、本次股东大会以现场投票和网络投票相结合的方式召开。</w:t>
      </w:r>
    </w:p>
    <w:p>
      <w:pPr>
        <w:numPr>
          <w:ilvl w:val="0"/>
          <w:numId w:val="1"/>
        </w:numPr>
        <w:spacing w:line="500" w:lineRule="exact"/>
        <w:rPr>
          <w:rFonts w:hint="eastAsia" w:ascii="宋体" w:hAnsi="宋体" w:eastAsia="宋体" w:cs="宋体"/>
          <w:b/>
          <w:bCs/>
          <w:sz w:val="24"/>
          <w:highlight w:val="none"/>
        </w:rPr>
      </w:pPr>
      <w:r>
        <w:rPr>
          <w:rFonts w:hint="eastAsia" w:ascii="宋体" w:hAnsi="宋体" w:eastAsia="宋体" w:cs="宋体"/>
          <w:b/>
          <w:bCs/>
          <w:sz w:val="24"/>
          <w:highlight w:val="none"/>
        </w:rPr>
        <w:t>会议召开和出席情况</w:t>
      </w:r>
    </w:p>
    <w:p>
      <w:pPr>
        <w:spacing w:line="50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华孚时尚股份有限公司（以下简称“公司”或“本公司”）</w:t>
      </w:r>
      <w:r>
        <w:rPr>
          <w:rFonts w:hint="eastAsia" w:ascii="宋体" w:hAnsi="宋体" w:eastAsia="宋体" w:cs="宋体"/>
          <w:sz w:val="24"/>
          <w:highlight w:val="none"/>
          <w:lang w:eastAsia="zh-CN"/>
        </w:rPr>
        <w:t>2023年第一次临时</w:t>
      </w:r>
      <w:r>
        <w:rPr>
          <w:rFonts w:hint="eastAsia" w:ascii="宋体" w:hAnsi="宋体" w:eastAsia="宋体" w:cs="宋体"/>
          <w:sz w:val="24"/>
          <w:highlight w:val="none"/>
        </w:rPr>
        <w:t>股东大会以现场投票及网络投票相结合的方式召开。</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（一）召开时间：</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1、现场会议时间：202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年</w:t>
      </w:r>
      <w:r>
        <w:rPr>
          <w:rFonts w:hint="eastAsia" w:ascii="宋体" w:hAnsi="宋体" w:eastAsia="宋体" w:cs="宋体"/>
          <w:sz w:val="24"/>
          <w:highlight w:val="none"/>
          <w:lang w:eastAsia="zh-CN"/>
        </w:rPr>
        <w:t>10月9日</w:t>
      </w:r>
      <w:r>
        <w:rPr>
          <w:rFonts w:hint="eastAsia" w:ascii="宋体" w:hAnsi="宋体" w:eastAsia="宋体" w:cs="宋体"/>
          <w:sz w:val="24"/>
          <w:highlight w:val="none"/>
        </w:rPr>
        <w:t>（星期</w:t>
      </w:r>
      <w:r>
        <w:rPr>
          <w:rFonts w:hint="eastAsia" w:ascii="宋体" w:hAnsi="宋体" w:eastAsia="宋体" w:cs="宋体"/>
          <w:sz w:val="24"/>
          <w:highlight w:val="none"/>
          <w:lang w:eastAsia="zh-CN"/>
        </w:rPr>
        <w:t>一</w:t>
      </w:r>
      <w:r>
        <w:rPr>
          <w:rFonts w:hint="eastAsia" w:ascii="宋体" w:hAnsi="宋体" w:eastAsia="宋体" w:cs="宋体"/>
          <w:sz w:val="24"/>
          <w:highlight w:val="none"/>
        </w:rPr>
        <w:t>）下午14:30-16:00。</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2、网络投票时间：202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年</w:t>
      </w:r>
      <w:r>
        <w:rPr>
          <w:rFonts w:hint="eastAsia" w:ascii="宋体" w:hAnsi="宋体" w:eastAsia="宋体" w:cs="宋体"/>
          <w:sz w:val="24"/>
          <w:highlight w:val="none"/>
          <w:lang w:eastAsia="zh-CN"/>
        </w:rPr>
        <w:t>10月9日</w:t>
      </w:r>
      <w:r>
        <w:rPr>
          <w:rFonts w:hint="eastAsia" w:ascii="宋体" w:hAnsi="宋体" w:eastAsia="宋体" w:cs="宋体"/>
          <w:sz w:val="24"/>
          <w:highlight w:val="none"/>
        </w:rPr>
        <w:t>。其中，通过深圳证券交易所交易系统进行网络投票的具体时间为：202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年</w:t>
      </w:r>
      <w:r>
        <w:rPr>
          <w:rFonts w:hint="eastAsia" w:ascii="宋体" w:hAnsi="宋体" w:eastAsia="宋体" w:cs="宋体"/>
          <w:sz w:val="24"/>
          <w:highlight w:val="none"/>
          <w:lang w:eastAsia="zh-CN"/>
        </w:rPr>
        <w:t>10月9日</w:t>
      </w:r>
      <w:r>
        <w:rPr>
          <w:rFonts w:hint="eastAsia" w:ascii="宋体" w:hAnsi="宋体" w:eastAsia="宋体" w:cs="宋体"/>
          <w:sz w:val="24"/>
          <w:highlight w:val="none"/>
        </w:rPr>
        <w:t>9：15-9：25、9:30－11:30和13:00－15:00；通过深圳证券交易所互联网投票系统投票的具体时间为：202</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年</w:t>
      </w:r>
      <w:r>
        <w:rPr>
          <w:rFonts w:hint="eastAsia" w:ascii="宋体" w:hAnsi="宋体" w:eastAsia="宋体" w:cs="宋体"/>
          <w:sz w:val="24"/>
          <w:highlight w:val="none"/>
          <w:lang w:eastAsia="zh-CN"/>
        </w:rPr>
        <w:t>10月9日</w:t>
      </w:r>
      <w:r>
        <w:rPr>
          <w:rFonts w:hint="eastAsia" w:ascii="宋体" w:hAnsi="宋体" w:eastAsia="宋体" w:cs="宋体"/>
          <w:sz w:val="24"/>
          <w:highlight w:val="none"/>
        </w:rPr>
        <w:t>9:15－15:00期间的任意时间；</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（二）现场会议召开地点：广东省深圳市福田区市花路5号长富金茂大厦59楼会议室。</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出席本次股东大会现场会议的股东共3名，所代表股份712,687,762股，占公司有表决权总股份的41.9060%；通过深圳证券交易所交易系统和互联网投票系统进行网络投票的股东（代理人）共1</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名，所</w:t>
      </w:r>
      <w:r>
        <w:rPr>
          <w:rFonts w:hint="eastAsia" w:ascii="宋体" w:hAnsi="宋体" w:eastAsia="宋体" w:cs="宋体"/>
          <w:sz w:val="24"/>
          <w:highlight w:val="none"/>
          <w:lang w:eastAsia="zh-CN"/>
        </w:rPr>
        <w:t>代表股份9,576,834股，占上市公司总股份的0.5631％。</w:t>
      </w:r>
      <w:r>
        <w:rPr>
          <w:rFonts w:hint="eastAsia" w:ascii="宋体" w:hAnsi="宋体" w:eastAsia="宋体" w:cs="宋体"/>
          <w:sz w:val="24"/>
          <w:highlight w:val="none"/>
        </w:rPr>
        <w:t>通过现场和网络出席本次股东大会的股东共</w:t>
      </w:r>
      <w:r>
        <w:rPr>
          <w:rFonts w:hint="eastAsia" w:ascii="宋体" w:hAnsi="宋体" w:eastAsia="宋体" w:cs="宋体"/>
          <w:sz w:val="24"/>
          <w:highlight w:val="none"/>
          <w:lang w:val="en-US" w:eastAsia="zh-CN"/>
        </w:rPr>
        <w:t>13</w:t>
      </w:r>
      <w:r>
        <w:rPr>
          <w:rFonts w:hint="eastAsia" w:ascii="宋体" w:hAnsi="宋体" w:eastAsia="宋体" w:cs="宋体"/>
          <w:sz w:val="24"/>
          <w:highlight w:val="none"/>
        </w:rPr>
        <w:t>名,拥有及</w:t>
      </w:r>
      <w:r>
        <w:rPr>
          <w:rFonts w:hint="eastAsia" w:ascii="宋体" w:hAnsi="宋体" w:eastAsia="宋体" w:cs="宋体"/>
          <w:sz w:val="24"/>
          <w:highlight w:val="none"/>
          <w:lang w:eastAsia="zh-CN"/>
        </w:rPr>
        <w:t>代表股份722,264,596股，占上市公司总股份的42.4691％。</w:t>
      </w:r>
    </w:p>
    <w:p>
      <w:pPr>
        <w:spacing w:line="5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本次股东大会由公司董事会召集，</w:t>
      </w:r>
      <w:r>
        <w:rPr>
          <w:rFonts w:hint="eastAsia" w:ascii="宋体" w:hAnsi="宋体" w:eastAsia="宋体" w:cs="宋体"/>
          <w:sz w:val="24"/>
          <w:highlight w:val="none"/>
          <w:lang w:eastAsia="zh-CN"/>
        </w:rPr>
        <w:t>董事长孙伟挺</w:t>
      </w:r>
      <w:r>
        <w:rPr>
          <w:rFonts w:hint="eastAsia" w:ascii="宋体" w:hAnsi="宋体" w:eastAsia="宋体" w:cs="宋体"/>
          <w:sz w:val="24"/>
          <w:highlight w:val="none"/>
        </w:rPr>
        <w:t>先生主持会议；公司董事、监事及董事会秘书出席会议，鉴证律师对本次会议进行了鉴证。本次会议的召集、召开与表决程序符合《中华人民共和国公司法》及《公司章程》的有关规定。</w:t>
      </w:r>
    </w:p>
    <w:p>
      <w:pPr>
        <w:numPr>
          <w:ilvl w:val="0"/>
          <w:numId w:val="1"/>
        </w:numPr>
        <w:spacing w:line="500" w:lineRule="exact"/>
        <w:rPr>
          <w:rFonts w:hint="eastAsia" w:ascii="宋体" w:hAnsi="宋体" w:eastAsia="宋体" w:cs="宋体"/>
          <w:b/>
          <w:bCs/>
          <w:sz w:val="24"/>
          <w:highlight w:val="none"/>
        </w:rPr>
      </w:pPr>
      <w:r>
        <w:rPr>
          <w:rFonts w:hint="eastAsia" w:ascii="宋体" w:hAnsi="宋体" w:eastAsia="宋体" w:cs="宋体"/>
          <w:b/>
          <w:bCs/>
          <w:sz w:val="24"/>
          <w:highlight w:val="none"/>
        </w:rPr>
        <w:t>提案审议和表决情况</w:t>
      </w:r>
    </w:p>
    <w:p>
      <w:pPr>
        <w:pStyle w:val="5"/>
        <w:spacing w:line="500" w:lineRule="exact"/>
        <w:ind w:firstLine="480"/>
        <w:rPr>
          <w:rFonts w:hint="eastAsia" w:ascii="宋体" w:hAnsi="宋体" w:eastAsia="宋体" w:cs="宋体"/>
          <w:sz w:val="24"/>
          <w:highlight w:val="none"/>
        </w:rPr>
      </w:pPr>
      <w:r>
        <w:rPr>
          <w:rFonts w:hint="eastAsia" w:ascii="宋体" w:hAnsi="宋体" w:eastAsia="宋体" w:cs="宋体"/>
          <w:sz w:val="24"/>
          <w:highlight w:val="none"/>
        </w:rPr>
        <w:t>本次股东大会无否决、新增</w:t>
      </w:r>
      <w:r>
        <w:rPr>
          <w:rFonts w:hint="eastAsia" w:ascii="宋体" w:hAnsi="宋体" w:eastAsia="宋体" w:cs="宋体"/>
          <w:sz w:val="24"/>
          <w:highlight w:val="none"/>
          <w:lang w:eastAsia="zh-CN"/>
        </w:rPr>
        <w:t>及</w:t>
      </w:r>
      <w:r>
        <w:rPr>
          <w:rFonts w:hint="eastAsia" w:ascii="宋体" w:hAnsi="宋体" w:eastAsia="宋体" w:cs="宋体"/>
          <w:sz w:val="24"/>
          <w:highlight w:val="none"/>
        </w:rPr>
        <w:t>修改提案的情况</w:t>
      </w:r>
      <w:r>
        <w:rPr>
          <w:rFonts w:hint="eastAsia" w:ascii="宋体" w:hAnsi="宋体" w:eastAsia="宋体" w:cs="宋体"/>
          <w:sz w:val="24"/>
          <w:highlight w:val="none"/>
          <w:lang w:eastAsia="zh-CN"/>
        </w:rPr>
        <w:t>，本次股东</w:t>
      </w:r>
      <w:r>
        <w:rPr>
          <w:rFonts w:hint="eastAsia" w:ascii="宋体" w:hAnsi="宋体" w:eastAsia="宋体" w:cs="宋体"/>
          <w:sz w:val="24"/>
          <w:highlight w:val="none"/>
        </w:rPr>
        <w:t>大会以现场投票和网络投票相结合的方式</w:t>
      </w:r>
      <w:r>
        <w:rPr>
          <w:rFonts w:hint="eastAsia" w:ascii="宋体" w:hAnsi="宋体" w:eastAsia="宋体" w:cs="宋体"/>
          <w:sz w:val="24"/>
          <w:highlight w:val="none"/>
          <w:lang w:eastAsia="zh-CN"/>
        </w:rPr>
        <w:t>进行，会议</w:t>
      </w:r>
      <w:r>
        <w:rPr>
          <w:rFonts w:hint="eastAsia" w:ascii="宋体" w:hAnsi="宋体" w:eastAsia="宋体" w:cs="宋体"/>
          <w:sz w:val="24"/>
          <w:highlight w:val="none"/>
        </w:rPr>
        <w:t>审议通过了以下议案：</w:t>
      </w:r>
    </w:p>
    <w:p>
      <w:pPr>
        <w:pStyle w:val="5"/>
        <w:spacing w:line="500" w:lineRule="exact"/>
        <w:ind w:firstLine="482"/>
        <w:rPr>
          <w:rFonts w:hint="eastAsia"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eastAsia="宋体" w:cs="宋体"/>
          <w:b/>
          <w:bCs/>
          <w:sz w:val="24"/>
          <w:highlight w:val="none"/>
        </w:rPr>
        <w:t>审议《关于独立董事任期届满暨补选独立董事的议案》；</w:t>
      </w:r>
    </w:p>
    <w:p>
      <w:pPr>
        <w:spacing w:line="500" w:lineRule="exact"/>
        <w:ind w:firstLine="470" w:firstLineChars="196"/>
        <w:rPr>
          <w:rFonts w:hint="eastAsia" w:ascii="宋体" w:hAnsi="宋体" w:eastAsia="宋体" w:cs="宋体"/>
          <w:sz w:val="24"/>
          <w:highlight w:val="yellow"/>
        </w:rPr>
      </w:pPr>
      <w:r>
        <w:rPr>
          <w:rFonts w:hint="eastAsia" w:ascii="宋体" w:hAnsi="宋体" w:eastAsia="宋体" w:cs="宋体"/>
          <w:sz w:val="24"/>
          <w:highlight w:val="none"/>
        </w:rPr>
        <w:t>总表决情况：</w:t>
      </w:r>
      <w:r>
        <w:rPr>
          <w:rFonts w:hint="eastAsia"/>
          <w:b w:val="0"/>
          <w:sz w:val="24"/>
          <w:highlight w:val="none"/>
          <w:lang w:eastAsia="zh-CN"/>
        </w:rPr>
        <w:t>同意720,478,996股，占出席会议所有股东所持股份的99.7528％；反对1,541,500股，占出席会议所有股东所持股份的0.2134％；弃权244,100股（其中，因未投票默认弃权0股），占出席会议所有股东所持股份的0.0338％。</w:t>
      </w:r>
      <w:r>
        <w:rPr>
          <w:rFonts w:hint="eastAsia" w:ascii="宋体" w:hAnsi="宋体" w:eastAsia="宋体" w:cs="宋体"/>
          <w:sz w:val="24"/>
          <w:highlight w:val="none"/>
        </w:rPr>
        <w:t>审议通过。</w:t>
      </w:r>
    </w:p>
    <w:p>
      <w:pPr>
        <w:spacing w:line="500" w:lineRule="exact"/>
        <w:ind w:firstLine="470" w:firstLineChars="196"/>
        <w:rPr>
          <w:rFonts w:hint="eastAsia" w:ascii="宋体" w:hAnsi="宋体" w:eastAsia="宋体" w:cs="宋体"/>
          <w:sz w:val="24"/>
          <w:highlight w:val="none"/>
        </w:rPr>
      </w:pPr>
      <w:r>
        <w:rPr>
          <w:rFonts w:hint="eastAsia" w:ascii="宋体" w:hAnsi="宋体" w:eastAsia="宋体" w:cs="宋体"/>
          <w:sz w:val="24"/>
          <w:highlight w:val="none"/>
        </w:rPr>
        <w:t>中小股东总表决情况：</w:t>
      </w:r>
      <w:r>
        <w:rPr>
          <w:rFonts w:hint="eastAsia"/>
          <w:b w:val="0"/>
          <w:sz w:val="24"/>
          <w:highlight w:val="none"/>
          <w:lang w:eastAsia="zh-CN"/>
        </w:rPr>
        <w:t>同意7,791,234股，占出席会议的中小股东所持股份的81.3550％；反对1,541,500股，占出席会议的中小股东所持股份的16.0961％；弃权244,100股（其中，因未投票默认弃权0股），占出席会议的中小股东所持股份的2.5489％。</w:t>
      </w:r>
    </w:p>
    <w:p>
      <w:pPr>
        <w:pStyle w:val="5"/>
        <w:spacing w:line="500" w:lineRule="exact"/>
        <w:ind w:firstLine="482"/>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2</w:t>
      </w:r>
      <w:r>
        <w:rPr>
          <w:rFonts w:hint="eastAsia" w:ascii="宋体" w:hAnsi="宋体" w:eastAsia="宋体" w:cs="宋体"/>
          <w:b/>
          <w:sz w:val="24"/>
          <w:highlight w:val="none"/>
        </w:rPr>
        <w:t>、审议《关于监事会主席辞任暨补选监事的议案》</w:t>
      </w:r>
    </w:p>
    <w:p>
      <w:pPr>
        <w:spacing w:line="500" w:lineRule="exact"/>
        <w:ind w:firstLine="470" w:firstLineChars="196"/>
        <w:rPr>
          <w:rFonts w:hint="eastAsia" w:ascii="宋体" w:hAnsi="宋体" w:eastAsia="宋体" w:cs="宋体"/>
          <w:sz w:val="24"/>
          <w:highlight w:val="none"/>
        </w:rPr>
      </w:pPr>
      <w:r>
        <w:rPr>
          <w:rFonts w:hint="eastAsia" w:ascii="宋体" w:hAnsi="宋体" w:eastAsia="宋体" w:cs="宋体"/>
          <w:sz w:val="24"/>
          <w:highlight w:val="none"/>
        </w:rPr>
        <w:t>总表决情况：</w:t>
      </w:r>
      <w:r>
        <w:rPr>
          <w:rFonts w:hint="eastAsia"/>
          <w:b w:val="0"/>
          <w:sz w:val="24"/>
          <w:highlight w:val="none"/>
          <w:lang w:eastAsia="zh-CN"/>
        </w:rPr>
        <w:t>同意720,478,996股，占出席会议所有股东所持股份的99.7528％；反对1,785,600股，占出席会议所有股东所持股份的0.2472％；弃权0股（其中，因未投票默认弃权0股），占出席会议所有股东所持股份的0.0000％。</w:t>
      </w:r>
      <w:r>
        <w:rPr>
          <w:rFonts w:hint="eastAsia" w:ascii="宋体" w:hAnsi="宋体" w:eastAsia="宋体" w:cs="宋体"/>
          <w:sz w:val="24"/>
          <w:highlight w:val="none"/>
        </w:rPr>
        <w:t>审议通过。</w:t>
      </w:r>
    </w:p>
    <w:p>
      <w:pPr>
        <w:spacing w:line="500" w:lineRule="exact"/>
        <w:ind w:firstLine="470" w:firstLineChars="196"/>
        <w:rPr>
          <w:rFonts w:hint="eastAsia" w:ascii="宋体" w:hAnsi="宋体" w:eastAsia="宋体" w:cs="宋体"/>
          <w:sz w:val="24"/>
          <w:highlight w:val="none"/>
        </w:rPr>
      </w:pPr>
      <w:r>
        <w:rPr>
          <w:rFonts w:hint="eastAsia" w:ascii="宋体" w:hAnsi="宋体" w:eastAsia="宋体" w:cs="宋体"/>
          <w:sz w:val="24"/>
          <w:highlight w:val="none"/>
        </w:rPr>
        <w:t>中小股东总表决情况：</w:t>
      </w:r>
      <w:r>
        <w:rPr>
          <w:rFonts w:hint="eastAsia" w:ascii="宋体" w:hAnsi="宋体" w:eastAsia="宋体" w:cs="宋体"/>
          <w:sz w:val="24"/>
          <w:highlight w:val="none"/>
          <w:lang w:eastAsia="zh-CN"/>
        </w:rPr>
        <w:t>同意7,791,234股，占出席会议的中小股东所持股份的81.3550％；反对1,785,600股，占出席会议的中小股东所持股份的18.6450％；弃权0股（其中，因未投票默认弃权0股），占出席会议的中小股东所持股份的0.0000％。</w:t>
      </w:r>
    </w:p>
    <w:p>
      <w:pPr>
        <w:pStyle w:val="5"/>
        <w:spacing w:line="500" w:lineRule="exact"/>
        <w:ind w:firstLine="482"/>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3</w:t>
      </w:r>
      <w:r>
        <w:rPr>
          <w:rFonts w:hint="eastAsia" w:ascii="宋体" w:hAnsi="宋体" w:eastAsia="宋体" w:cs="宋体"/>
          <w:b/>
          <w:sz w:val="24"/>
          <w:highlight w:val="none"/>
        </w:rPr>
        <w:t>、审议《关于拟终止实施2021年股票期权激励计划并注销股票期权的议案》</w:t>
      </w:r>
    </w:p>
    <w:p>
      <w:pPr>
        <w:spacing w:line="500" w:lineRule="exact"/>
        <w:ind w:firstLine="470" w:firstLineChars="196"/>
        <w:rPr>
          <w:rFonts w:hint="eastAsia" w:ascii="宋体" w:hAnsi="宋体" w:eastAsia="宋体" w:cs="宋体"/>
          <w:sz w:val="24"/>
          <w:highlight w:val="none"/>
        </w:rPr>
      </w:pPr>
      <w:r>
        <w:rPr>
          <w:rFonts w:hint="eastAsia" w:ascii="宋体" w:hAnsi="宋体" w:eastAsia="宋体" w:cs="宋体"/>
          <w:sz w:val="24"/>
          <w:highlight w:val="none"/>
        </w:rPr>
        <w:t>总表决情况：</w:t>
      </w:r>
      <w:r>
        <w:rPr>
          <w:rFonts w:hint="eastAsia"/>
          <w:b w:val="0"/>
          <w:sz w:val="24"/>
          <w:highlight w:val="none"/>
          <w:lang w:eastAsia="zh-CN"/>
        </w:rPr>
        <w:t>同意720,723,096股，占出席会议所有股东所持股份的99.7866％；反对1,541,500股，占出席会议所有股东所持股份的0.2134％；弃权0股（其中，因未投票默认弃权0股），占出席会议所有股东所持股份的0.0000％。该议案为特别表决事项，需</w:t>
      </w:r>
      <w:r>
        <w:rPr>
          <w:rFonts w:hint="eastAsia" w:ascii="宋体" w:hAnsi="宋体"/>
          <w:kern w:val="0"/>
          <w:sz w:val="24"/>
        </w:rPr>
        <w:t>经出席本次会议的股东（包括股东代理人）所持表决权的2/3以上通过。</w:t>
      </w:r>
      <w:r>
        <w:rPr>
          <w:rFonts w:hint="eastAsia" w:ascii="宋体" w:hAnsi="宋体" w:eastAsia="宋体" w:cs="宋体"/>
          <w:sz w:val="24"/>
          <w:highlight w:val="none"/>
        </w:rPr>
        <w:t>审议通过。</w:t>
      </w:r>
    </w:p>
    <w:p>
      <w:pPr>
        <w:spacing w:line="500" w:lineRule="exact"/>
        <w:ind w:firstLine="470" w:firstLineChars="196"/>
        <w:rPr>
          <w:rFonts w:hint="eastAsia" w:ascii="宋体" w:hAnsi="宋体" w:eastAsia="宋体" w:cs="宋体"/>
          <w:sz w:val="24"/>
          <w:highlight w:val="none"/>
        </w:rPr>
      </w:pPr>
      <w:r>
        <w:rPr>
          <w:rFonts w:hint="eastAsia" w:ascii="宋体" w:hAnsi="宋体" w:eastAsia="宋体" w:cs="宋体"/>
          <w:sz w:val="24"/>
          <w:highlight w:val="none"/>
        </w:rPr>
        <w:t xml:space="preserve">中小股东总表决情况： </w:t>
      </w:r>
      <w:r>
        <w:rPr>
          <w:rFonts w:hint="eastAsia"/>
          <w:b w:val="0"/>
          <w:sz w:val="24"/>
          <w:highlight w:val="none"/>
          <w:lang w:eastAsia="zh-CN"/>
        </w:rPr>
        <w:t>同意8,035,334股，占出席会议的中小股东所持股份的83.9039％；反对1,541,500股，占出席会议的中小股东所持股份的16.0961％；弃权0股（其中，因未投票默认弃权0股），占出席会议的中小股东所持股份的0.0000％。</w:t>
      </w:r>
    </w:p>
    <w:p>
      <w:pPr>
        <w:pStyle w:val="5"/>
        <w:spacing w:line="500" w:lineRule="exact"/>
        <w:ind w:firstLine="482"/>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4</w:t>
      </w:r>
      <w:r>
        <w:rPr>
          <w:rFonts w:hint="eastAsia" w:ascii="宋体" w:hAnsi="宋体" w:eastAsia="宋体" w:cs="宋体"/>
          <w:b/>
          <w:sz w:val="24"/>
          <w:highlight w:val="none"/>
        </w:rPr>
        <w:t>、审议《关于公司为子公司期货交割库业务提供担保的议案》</w:t>
      </w:r>
    </w:p>
    <w:p>
      <w:pPr>
        <w:spacing w:line="500" w:lineRule="exact"/>
        <w:ind w:firstLine="470" w:firstLineChars="196"/>
        <w:rPr>
          <w:rFonts w:hint="eastAsia" w:ascii="宋体" w:hAnsi="宋体" w:eastAsia="宋体" w:cs="宋体"/>
          <w:sz w:val="24"/>
          <w:highlight w:val="none"/>
        </w:rPr>
      </w:pPr>
      <w:r>
        <w:rPr>
          <w:rFonts w:hint="eastAsia" w:ascii="宋体" w:hAnsi="宋体" w:eastAsia="宋体" w:cs="宋体"/>
          <w:sz w:val="24"/>
          <w:highlight w:val="none"/>
        </w:rPr>
        <w:t>总表决情况：</w:t>
      </w:r>
      <w:r>
        <w:rPr>
          <w:rFonts w:hint="eastAsia"/>
          <w:b w:val="0"/>
          <w:sz w:val="24"/>
          <w:highlight w:val="none"/>
          <w:lang w:eastAsia="zh-CN"/>
        </w:rPr>
        <w:t>同意712,746,462股，占出席会议所有股东所持股份的98.6822％；反对9,518,134股，占出席会议所有股东所持股份的1.3178％；弃权0股（其中，因未投票默认弃权0股），占出席会议所有股东所持股份的0.0000％。该议案为特别表决事项，需</w:t>
      </w:r>
      <w:r>
        <w:rPr>
          <w:rFonts w:hint="eastAsia" w:ascii="宋体" w:hAnsi="宋体"/>
          <w:kern w:val="0"/>
          <w:sz w:val="24"/>
        </w:rPr>
        <w:t>经出席本次会议的股东（包括股东代理人）所持表决权的2/3以上通过。</w:t>
      </w:r>
      <w:r>
        <w:rPr>
          <w:rFonts w:hint="eastAsia" w:ascii="宋体" w:hAnsi="宋体" w:eastAsia="宋体" w:cs="宋体"/>
          <w:sz w:val="24"/>
          <w:highlight w:val="none"/>
        </w:rPr>
        <w:t>审议通过。</w:t>
      </w:r>
    </w:p>
    <w:p>
      <w:pPr>
        <w:spacing w:line="500" w:lineRule="exact"/>
        <w:ind w:firstLine="470" w:firstLineChars="196"/>
        <w:rPr>
          <w:rFonts w:hint="eastAsia" w:ascii="宋体" w:hAnsi="宋体" w:eastAsia="宋体" w:cs="宋体"/>
          <w:sz w:val="24"/>
          <w:highlight w:val="yellow"/>
        </w:rPr>
      </w:pPr>
      <w:r>
        <w:rPr>
          <w:rFonts w:hint="eastAsia" w:ascii="宋体" w:hAnsi="宋体" w:eastAsia="宋体" w:cs="宋体"/>
          <w:sz w:val="24"/>
          <w:highlight w:val="none"/>
        </w:rPr>
        <w:t>中小股东总表决情况：</w:t>
      </w:r>
      <w:r>
        <w:rPr>
          <w:rFonts w:hint="eastAsia"/>
          <w:b w:val="0"/>
          <w:sz w:val="24"/>
          <w:highlight w:val="none"/>
          <w:lang w:eastAsia="zh-CN"/>
        </w:rPr>
        <w:t>同意58,700股，占出席会议的中小股东所持股份的0.6129％；反对9,518,134股，占出席会议的中小股东所持股份的99.3871％；弃权0股（其中，因未投票默认弃权0股），占出席会议的中小股东所持股份的0.0000％。</w:t>
      </w:r>
    </w:p>
    <w:p>
      <w:pPr>
        <w:spacing w:line="480" w:lineRule="exact"/>
        <w:ind w:firstLine="472" w:firstLineChars="196"/>
        <w:rPr>
          <w:rStyle w:val="23"/>
          <w:rFonts w:hint="eastAsia" w:ascii="宋体" w:hAnsi="宋体" w:eastAsia="宋体" w:cs="宋体"/>
          <w:b/>
          <w:bCs/>
          <w:sz w:val="24"/>
        </w:rPr>
      </w:pPr>
      <w:r>
        <w:rPr>
          <w:rStyle w:val="23"/>
          <w:rFonts w:hint="eastAsia" w:ascii="宋体" w:hAnsi="宋体" w:eastAsia="宋体" w:cs="宋体"/>
          <w:b/>
          <w:bCs/>
          <w:sz w:val="24"/>
        </w:rPr>
        <w:t>三、律师出具的法律意见</w:t>
      </w:r>
    </w:p>
    <w:p>
      <w:pPr>
        <w:spacing w:line="480" w:lineRule="exact"/>
        <w:outlineLvl w:val="0"/>
        <w:rPr>
          <w:rFonts w:hint="eastAsia" w:ascii="宋体" w:hAnsi="宋体" w:eastAsia="宋体" w:cs="宋体"/>
          <w:sz w:val="24"/>
        </w:rPr>
      </w:pPr>
      <w:r>
        <w:rPr>
          <w:rFonts w:hint="eastAsia" w:ascii="宋体" w:hAnsi="宋体" w:eastAsia="宋体" w:cs="宋体"/>
          <w:sz w:val="24"/>
        </w:rPr>
        <w:t xml:space="preserve">    华商林李黎（前海）联营律师事务所</w:t>
      </w:r>
      <w:r>
        <w:rPr>
          <w:rFonts w:hint="eastAsia" w:ascii="宋体" w:hAnsi="宋体" w:eastAsia="宋体" w:cs="宋体"/>
          <w:sz w:val="24"/>
          <w:lang w:eastAsia="zh-CN"/>
        </w:rPr>
        <w:t>曾卓</w:t>
      </w:r>
      <w:r>
        <w:rPr>
          <w:rFonts w:hint="eastAsia" w:ascii="宋体" w:hAnsi="宋体" w:eastAsia="宋体" w:cs="宋体"/>
          <w:sz w:val="24"/>
        </w:rPr>
        <w:t>律师、</w:t>
      </w:r>
      <w:r>
        <w:rPr>
          <w:rFonts w:hint="eastAsia" w:ascii="宋体" w:hAnsi="宋体" w:eastAsia="宋体" w:cs="宋体"/>
          <w:sz w:val="24"/>
          <w:szCs w:val="24"/>
          <w:lang w:eastAsia="zh-CN"/>
        </w:rPr>
        <w:t>陈龙</w:t>
      </w:r>
      <w:r>
        <w:rPr>
          <w:rFonts w:hint="eastAsia" w:ascii="宋体" w:hAnsi="宋体" w:eastAsia="宋体" w:cs="宋体"/>
          <w:sz w:val="24"/>
        </w:rPr>
        <w:t>律师对本次股东大会进行了见证，并出具了《法律意见书》。</w:t>
      </w:r>
    </w:p>
    <w:p>
      <w:pPr>
        <w:spacing w:line="480" w:lineRule="exact"/>
        <w:outlineLvl w:val="0"/>
        <w:rPr>
          <w:rFonts w:hint="eastAsia" w:ascii="宋体" w:hAnsi="宋体" w:eastAsia="宋体" w:cs="宋体"/>
          <w:sz w:val="24"/>
        </w:rPr>
      </w:pPr>
      <w:r>
        <w:rPr>
          <w:rFonts w:hint="eastAsia" w:ascii="宋体" w:hAnsi="宋体" w:eastAsia="宋体" w:cs="宋体"/>
          <w:sz w:val="24"/>
        </w:rPr>
        <w:t xml:space="preserve">    该法律意见书认为：公司本次股东大会召集和召开程序、出席会议人员主体资格、会议表决程序、表决结果以及形成的会议决议均符合《公司法》等法律、法规、规范性文件以及《公司章程》的相关规定，合法有效。</w:t>
      </w:r>
    </w:p>
    <w:p>
      <w:pPr>
        <w:spacing w:line="480" w:lineRule="exact"/>
        <w:ind w:left="559"/>
        <w:outlineLvl w:val="0"/>
        <w:rPr>
          <w:rFonts w:hint="eastAsia" w:ascii="宋体" w:hAnsi="宋体" w:eastAsia="宋体" w:cs="宋体"/>
          <w:b/>
          <w:bCs/>
          <w:sz w:val="24"/>
        </w:rPr>
      </w:pPr>
      <w:r>
        <w:rPr>
          <w:rFonts w:hint="eastAsia" w:ascii="宋体" w:hAnsi="宋体" w:eastAsia="宋体" w:cs="宋体"/>
          <w:b/>
          <w:bCs/>
          <w:sz w:val="24"/>
        </w:rPr>
        <w:t>四、备查文件</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2023年第一次临时</w:t>
      </w:r>
      <w:r>
        <w:rPr>
          <w:rFonts w:hint="eastAsia" w:ascii="宋体" w:hAnsi="宋体" w:eastAsia="宋体" w:cs="宋体"/>
          <w:sz w:val="24"/>
        </w:rPr>
        <w:t>股东大会决议；</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2、法律意见书。</w:t>
      </w:r>
    </w:p>
    <w:p>
      <w:pPr>
        <w:spacing w:line="480" w:lineRule="exact"/>
        <w:ind w:firstLine="540" w:firstLineChars="225"/>
        <w:rPr>
          <w:rFonts w:hint="eastAsia" w:ascii="宋体" w:hAnsi="宋体" w:eastAsia="宋体" w:cs="宋体"/>
          <w:sz w:val="24"/>
        </w:rPr>
      </w:pPr>
      <w:r>
        <w:rPr>
          <w:rFonts w:hint="eastAsia" w:ascii="宋体" w:hAnsi="宋体" w:eastAsia="宋体" w:cs="宋体"/>
          <w:sz w:val="24"/>
        </w:rPr>
        <w:t>特此公告。</w:t>
      </w:r>
    </w:p>
    <w:p>
      <w:pPr>
        <w:spacing w:line="480" w:lineRule="exact"/>
        <w:ind w:firstLine="3840" w:firstLineChars="1600"/>
        <w:jc w:val="right"/>
        <w:rPr>
          <w:rFonts w:hint="eastAsia" w:ascii="宋体" w:hAnsi="宋体" w:eastAsia="宋体" w:cs="宋体"/>
          <w:sz w:val="24"/>
        </w:rPr>
      </w:pPr>
      <w:r>
        <w:rPr>
          <w:rFonts w:hint="eastAsia" w:ascii="宋体" w:hAnsi="宋体" w:eastAsia="宋体" w:cs="宋体"/>
          <w:sz w:val="24"/>
        </w:rPr>
        <w:t>华孚时尚股份有限公司董事会</w:t>
      </w:r>
    </w:p>
    <w:p>
      <w:pPr>
        <w:spacing w:line="480" w:lineRule="exact"/>
        <w:ind w:firstLine="720" w:firstLineChars="300"/>
        <w:jc w:val="right"/>
        <w:rPr>
          <w:rFonts w:ascii="宋体" w:hAnsi="宋体"/>
          <w:bCs/>
          <w:sz w:val="24"/>
        </w:rPr>
      </w:pPr>
      <w:r>
        <w:rPr>
          <w:rFonts w:hint="eastAsia" w:ascii="宋体" w:hAnsi="宋体" w:eastAsia="宋体" w:cs="宋体"/>
          <w:sz w:val="24"/>
        </w:rPr>
        <w:t>　　                                  二〇二</w:t>
      </w:r>
      <w:r>
        <w:rPr>
          <w:rFonts w:hint="eastAsia" w:ascii="宋体" w:hAnsi="宋体" w:eastAsia="宋体" w:cs="宋体"/>
          <w:sz w:val="24"/>
          <w:lang w:eastAsia="zh-CN"/>
        </w:rPr>
        <w:t>三</w:t>
      </w:r>
      <w:r>
        <w:rPr>
          <w:rFonts w:hint="eastAsia" w:ascii="宋体" w:hAnsi="宋体" w:eastAsia="宋体" w:cs="宋体"/>
          <w:sz w:val="24"/>
        </w:rPr>
        <w:t>年</w:t>
      </w:r>
      <w:r>
        <w:rPr>
          <w:rFonts w:hint="eastAsia" w:ascii="宋体" w:hAnsi="宋体" w:eastAsia="宋体" w:cs="宋体"/>
          <w:sz w:val="24"/>
          <w:lang w:eastAsia="zh-CN"/>
        </w:rPr>
        <w:t>十</w:t>
      </w:r>
      <w:r>
        <w:rPr>
          <w:rFonts w:hint="eastAsia" w:ascii="宋体" w:hAnsi="宋体" w:eastAsia="宋体" w:cs="宋体"/>
          <w:sz w:val="24"/>
        </w:rPr>
        <w:t>月</w:t>
      </w:r>
      <w:r>
        <w:rPr>
          <w:rFonts w:hint="eastAsia" w:ascii="宋体" w:hAnsi="宋体" w:eastAsia="宋体" w:cs="宋体"/>
          <w:sz w:val="24"/>
          <w:lang w:eastAsia="zh-CN"/>
        </w:rPr>
        <w:t>十</w:t>
      </w:r>
      <w:r>
        <w:rPr>
          <w:rFonts w:hint="eastAsia" w:ascii="宋体" w:hAnsi="宋体" w:eastAsia="宋体" w:cs="宋体"/>
          <w:sz w:val="24"/>
        </w:rPr>
        <w:t>日</w:t>
      </w:r>
    </w:p>
    <w:sectPr>
      <w:footerReference r:id="rId3" w:type="default"/>
      <w:footerReference r:id="rId4" w:type="even"/>
      <w:pgSz w:w="11906" w:h="16838"/>
      <w:pgMar w:top="1134" w:right="1531" w:bottom="709" w:left="1531" w:header="1418" w:footer="96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02A46"/>
    <w:multiLevelType w:val="multilevel"/>
    <w:tmpl w:val="6C902A46"/>
    <w:lvl w:ilvl="0" w:tentative="0">
      <w:start w:val="1"/>
      <w:numFmt w:val="japaneseCounting"/>
      <w:lvlText w:val="%1、"/>
      <w:lvlJc w:val="left"/>
      <w:pPr>
        <w:tabs>
          <w:tab w:val="left" w:pos="1279"/>
        </w:tabs>
        <w:ind w:left="1279" w:hanging="720"/>
      </w:pPr>
      <w:rPr>
        <w:rFonts w:hint="eastAsia"/>
      </w:rPr>
    </w:lvl>
    <w:lvl w:ilvl="1" w:tentative="0">
      <w:start w:val="1"/>
      <w:numFmt w:val="decimal"/>
      <w:lvlText w:val="%2、"/>
      <w:lvlJc w:val="left"/>
      <w:pPr>
        <w:tabs>
          <w:tab w:val="left" w:pos="1699"/>
        </w:tabs>
        <w:ind w:left="1699" w:hanging="720"/>
      </w:pPr>
      <w:rPr>
        <w:rFonts w:hint="eastAsia"/>
      </w:rPr>
    </w:lvl>
    <w:lvl w:ilvl="2" w:tentative="0">
      <w:start w:val="1"/>
      <w:numFmt w:val="lowerRoman"/>
      <w:lvlText w:val="%3."/>
      <w:lvlJc w:val="right"/>
      <w:pPr>
        <w:tabs>
          <w:tab w:val="left" w:pos="1819"/>
        </w:tabs>
        <w:ind w:left="1819" w:hanging="420"/>
      </w:pPr>
    </w:lvl>
    <w:lvl w:ilvl="3" w:tentative="0">
      <w:start w:val="1"/>
      <w:numFmt w:val="decimal"/>
      <w:lvlText w:val="%4."/>
      <w:lvlJc w:val="left"/>
      <w:pPr>
        <w:tabs>
          <w:tab w:val="left" w:pos="2239"/>
        </w:tabs>
        <w:ind w:left="2239" w:hanging="420"/>
      </w:pPr>
    </w:lvl>
    <w:lvl w:ilvl="4" w:tentative="0">
      <w:start w:val="1"/>
      <w:numFmt w:val="lowerLetter"/>
      <w:lvlText w:val="%5)"/>
      <w:lvlJc w:val="left"/>
      <w:pPr>
        <w:tabs>
          <w:tab w:val="left" w:pos="2659"/>
        </w:tabs>
        <w:ind w:left="2659" w:hanging="420"/>
      </w:pPr>
    </w:lvl>
    <w:lvl w:ilvl="5" w:tentative="0">
      <w:start w:val="1"/>
      <w:numFmt w:val="lowerRoman"/>
      <w:lvlText w:val="%6."/>
      <w:lvlJc w:val="right"/>
      <w:pPr>
        <w:tabs>
          <w:tab w:val="left" w:pos="3079"/>
        </w:tabs>
        <w:ind w:left="3079" w:hanging="420"/>
      </w:pPr>
    </w:lvl>
    <w:lvl w:ilvl="6" w:tentative="0">
      <w:start w:val="1"/>
      <w:numFmt w:val="decimal"/>
      <w:lvlText w:val="%7."/>
      <w:lvlJc w:val="left"/>
      <w:pPr>
        <w:tabs>
          <w:tab w:val="left" w:pos="3499"/>
        </w:tabs>
        <w:ind w:left="3499" w:hanging="420"/>
      </w:pPr>
    </w:lvl>
    <w:lvl w:ilvl="7" w:tentative="0">
      <w:start w:val="1"/>
      <w:numFmt w:val="lowerLetter"/>
      <w:lvlText w:val="%8)"/>
      <w:lvlJc w:val="left"/>
      <w:pPr>
        <w:tabs>
          <w:tab w:val="left" w:pos="3919"/>
        </w:tabs>
        <w:ind w:left="3919" w:hanging="420"/>
      </w:pPr>
    </w:lvl>
    <w:lvl w:ilvl="8" w:tentative="0">
      <w:start w:val="1"/>
      <w:numFmt w:val="lowerRoman"/>
      <w:lvlText w:val="%9."/>
      <w:lvlJc w:val="right"/>
      <w:pPr>
        <w:tabs>
          <w:tab w:val="left" w:pos="4339"/>
        </w:tabs>
        <w:ind w:left="43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A7479B"/>
    <w:rsid w:val="00013189"/>
    <w:rsid w:val="00015D33"/>
    <w:rsid w:val="00021BB7"/>
    <w:rsid w:val="000245E0"/>
    <w:rsid w:val="000245EA"/>
    <w:rsid w:val="00026B4D"/>
    <w:rsid w:val="000303B2"/>
    <w:rsid w:val="00032BC3"/>
    <w:rsid w:val="000354D5"/>
    <w:rsid w:val="0004222B"/>
    <w:rsid w:val="00043451"/>
    <w:rsid w:val="00046E95"/>
    <w:rsid w:val="00050082"/>
    <w:rsid w:val="00052C70"/>
    <w:rsid w:val="00053FE2"/>
    <w:rsid w:val="00054A57"/>
    <w:rsid w:val="00056E98"/>
    <w:rsid w:val="00062BEB"/>
    <w:rsid w:val="00072047"/>
    <w:rsid w:val="000776DE"/>
    <w:rsid w:val="0007777B"/>
    <w:rsid w:val="00082F8C"/>
    <w:rsid w:val="00083FCE"/>
    <w:rsid w:val="00084781"/>
    <w:rsid w:val="00086821"/>
    <w:rsid w:val="00095B8B"/>
    <w:rsid w:val="00096078"/>
    <w:rsid w:val="00097BD6"/>
    <w:rsid w:val="000A032D"/>
    <w:rsid w:val="000A32C6"/>
    <w:rsid w:val="000A3D61"/>
    <w:rsid w:val="000A516D"/>
    <w:rsid w:val="000A60D0"/>
    <w:rsid w:val="000B11C1"/>
    <w:rsid w:val="000B37AB"/>
    <w:rsid w:val="000B3DBA"/>
    <w:rsid w:val="000B5F73"/>
    <w:rsid w:val="000C12DA"/>
    <w:rsid w:val="000D2669"/>
    <w:rsid w:val="000D72E9"/>
    <w:rsid w:val="000E1B9F"/>
    <w:rsid w:val="000E3605"/>
    <w:rsid w:val="000E5E5B"/>
    <w:rsid w:val="000E72AD"/>
    <w:rsid w:val="0010107F"/>
    <w:rsid w:val="00101171"/>
    <w:rsid w:val="00101F82"/>
    <w:rsid w:val="00105442"/>
    <w:rsid w:val="00113112"/>
    <w:rsid w:val="00123425"/>
    <w:rsid w:val="00124483"/>
    <w:rsid w:val="00125762"/>
    <w:rsid w:val="00132CA1"/>
    <w:rsid w:val="00136E6A"/>
    <w:rsid w:val="0013784E"/>
    <w:rsid w:val="0014132C"/>
    <w:rsid w:val="00141813"/>
    <w:rsid w:val="0014570E"/>
    <w:rsid w:val="00145B58"/>
    <w:rsid w:val="00146BA9"/>
    <w:rsid w:val="00147079"/>
    <w:rsid w:val="00163B03"/>
    <w:rsid w:val="00165E23"/>
    <w:rsid w:val="00173856"/>
    <w:rsid w:val="00176E60"/>
    <w:rsid w:val="0018256B"/>
    <w:rsid w:val="0018509F"/>
    <w:rsid w:val="00186C5C"/>
    <w:rsid w:val="00187551"/>
    <w:rsid w:val="00194FF9"/>
    <w:rsid w:val="001960C8"/>
    <w:rsid w:val="001A0182"/>
    <w:rsid w:val="001A02D2"/>
    <w:rsid w:val="001A1DC3"/>
    <w:rsid w:val="001A2FD1"/>
    <w:rsid w:val="001B0816"/>
    <w:rsid w:val="001B1107"/>
    <w:rsid w:val="001B3CDA"/>
    <w:rsid w:val="001C0FCA"/>
    <w:rsid w:val="001C22BD"/>
    <w:rsid w:val="001C741A"/>
    <w:rsid w:val="001C75D7"/>
    <w:rsid w:val="001D1F74"/>
    <w:rsid w:val="001D4637"/>
    <w:rsid w:val="001D4A7C"/>
    <w:rsid w:val="001D5BD6"/>
    <w:rsid w:val="001E08EA"/>
    <w:rsid w:val="001E34FD"/>
    <w:rsid w:val="001F258B"/>
    <w:rsid w:val="001F314D"/>
    <w:rsid w:val="001F5E62"/>
    <w:rsid w:val="00201452"/>
    <w:rsid w:val="0020734C"/>
    <w:rsid w:val="002107FC"/>
    <w:rsid w:val="00213B12"/>
    <w:rsid w:val="002204C6"/>
    <w:rsid w:val="002217CE"/>
    <w:rsid w:val="00233371"/>
    <w:rsid w:val="00242B0E"/>
    <w:rsid w:val="00265DA7"/>
    <w:rsid w:val="00272882"/>
    <w:rsid w:val="002800E3"/>
    <w:rsid w:val="002834AF"/>
    <w:rsid w:val="002863A8"/>
    <w:rsid w:val="0029046B"/>
    <w:rsid w:val="00296930"/>
    <w:rsid w:val="002A708B"/>
    <w:rsid w:val="002A7AC7"/>
    <w:rsid w:val="002B28E2"/>
    <w:rsid w:val="002B2C70"/>
    <w:rsid w:val="002B3977"/>
    <w:rsid w:val="002C07CC"/>
    <w:rsid w:val="002C087F"/>
    <w:rsid w:val="002C269D"/>
    <w:rsid w:val="002C5331"/>
    <w:rsid w:val="002C5499"/>
    <w:rsid w:val="002D02A6"/>
    <w:rsid w:val="002E0124"/>
    <w:rsid w:val="002E7B4B"/>
    <w:rsid w:val="002F0412"/>
    <w:rsid w:val="002F0668"/>
    <w:rsid w:val="002F7FED"/>
    <w:rsid w:val="00302CD8"/>
    <w:rsid w:val="0031798C"/>
    <w:rsid w:val="00320E7F"/>
    <w:rsid w:val="003235F7"/>
    <w:rsid w:val="00323BF0"/>
    <w:rsid w:val="00323CA6"/>
    <w:rsid w:val="00327221"/>
    <w:rsid w:val="00327EF6"/>
    <w:rsid w:val="00333ECC"/>
    <w:rsid w:val="0033696C"/>
    <w:rsid w:val="003444B2"/>
    <w:rsid w:val="00346360"/>
    <w:rsid w:val="00347ADC"/>
    <w:rsid w:val="00350C6B"/>
    <w:rsid w:val="003555A6"/>
    <w:rsid w:val="00356431"/>
    <w:rsid w:val="0035692F"/>
    <w:rsid w:val="00357A1A"/>
    <w:rsid w:val="003652DF"/>
    <w:rsid w:val="00380239"/>
    <w:rsid w:val="0038088B"/>
    <w:rsid w:val="003938F7"/>
    <w:rsid w:val="003944A1"/>
    <w:rsid w:val="003A0359"/>
    <w:rsid w:val="003A2363"/>
    <w:rsid w:val="003A6204"/>
    <w:rsid w:val="003B5D78"/>
    <w:rsid w:val="003B6FBE"/>
    <w:rsid w:val="003C2D18"/>
    <w:rsid w:val="003C30FA"/>
    <w:rsid w:val="003C486E"/>
    <w:rsid w:val="003C51F6"/>
    <w:rsid w:val="003C609C"/>
    <w:rsid w:val="003C6A83"/>
    <w:rsid w:val="003D4122"/>
    <w:rsid w:val="003D7A0A"/>
    <w:rsid w:val="003E0809"/>
    <w:rsid w:val="003E5AC1"/>
    <w:rsid w:val="003F344C"/>
    <w:rsid w:val="003F3BC2"/>
    <w:rsid w:val="003F49B1"/>
    <w:rsid w:val="004079DD"/>
    <w:rsid w:val="00407D54"/>
    <w:rsid w:val="00411BA4"/>
    <w:rsid w:val="0041440B"/>
    <w:rsid w:val="004146DB"/>
    <w:rsid w:val="00431730"/>
    <w:rsid w:val="0044263D"/>
    <w:rsid w:val="00443E77"/>
    <w:rsid w:val="0044458F"/>
    <w:rsid w:val="00444960"/>
    <w:rsid w:val="00445E12"/>
    <w:rsid w:val="00446DBB"/>
    <w:rsid w:val="004544D9"/>
    <w:rsid w:val="00455FEB"/>
    <w:rsid w:val="004623D7"/>
    <w:rsid w:val="004658EC"/>
    <w:rsid w:val="00467C70"/>
    <w:rsid w:val="00470F98"/>
    <w:rsid w:val="0047565E"/>
    <w:rsid w:val="00481B78"/>
    <w:rsid w:val="00482C7C"/>
    <w:rsid w:val="0048493A"/>
    <w:rsid w:val="004858F3"/>
    <w:rsid w:val="004869EA"/>
    <w:rsid w:val="00487E30"/>
    <w:rsid w:val="0049119E"/>
    <w:rsid w:val="004A43F0"/>
    <w:rsid w:val="004A62D9"/>
    <w:rsid w:val="004A6700"/>
    <w:rsid w:val="004B1890"/>
    <w:rsid w:val="004C6B66"/>
    <w:rsid w:val="004C6BB8"/>
    <w:rsid w:val="004D37AF"/>
    <w:rsid w:val="004D7D6C"/>
    <w:rsid w:val="004E028A"/>
    <w:rsid w:val="004E08ED"/>
    <w:rsid w:val="004E3660"/>
    <w:rsid w:val="004E5CC1"/>
    <w:rsid w:val="004E63CA"/>
    <w:rsid w:val="00502296"/>
    <w:rsid w:val="0050651E"/>
    <w:rsid w:val="0051048E"/>
    <w:rsid w:val="00510770"/>
    <w:rsid w:val="005129C1"/>
    <w:rsid w:val="005177D2"/>
    <w:rsid w:val="00522939"/>
    <w:rsid w:val="0052524F"/>
    <w:rsid w:val="005266BC"/>
    <w:rsid w:val="00527220"/>
    <w:rsid w:val="00527752"/>
    <w:rsid w:val="00527A88"/>
    <w:rsid w:val="00534DA8"/>
    <w:rsid w:val="00542846"/>
    <w:rsid w:val="00544107"/>
    <w:rsid w:val="00552528"/>
    <w:rsid w:val="0055563F"/>
    <w:rsid w:val="00556CD9"/>
    <w:rsid w:val="005627A7"/>
    <w:rsid w:val="00574255"/>
    <w:rsid w:val="00585496"/>
    <w:rsid w:val="0059158E"/>
    <w:rsid w:val="005B06DA"/>
    <w:rsid w:val="005B251D"/>
    <w:rsid w:val="005B6D47"/>
    <w:rsid w:val="005C2845"/>
    <w:rsid w:val="005C42CB"/>
    <w:rsid w:val="005C467C"/>
    <w:rsid w:val="005C554D"/>
    <w:rsid w:val="005C74D0"/>
    <w:rsid w:val="005C7AFA"/>
    <w:rsid w:val="005D6331"/>
    <w:rsid w:val="005D717D"/>
    <w:rsid w:val="005E3258"/>
    <w:rsid w:val="005F0409"/>
    <w:rsid w:val="005F1356"/>
    <w:rsid w:val="0061594D"/>
    <w:rsid w:val="006232CF"/>
    <w:rsid w:val="00624B7B"/>
    <w:rsid w:val="00627DA5"/>
    <w:rsid w:val="0063151C"/>
    <w:rsid w:val="006327A5"/>
    <w:rsid w:val="006331C0"/>
    <w:rsid w:val="006331CB"/>
    <w:rsid w:val="00633DAB"/>
    <w:rsid w:val="00641116"/>
    <w:rsid w:val="006424B5"/>
    <w:rsid w:val="00644375"/>
    <w:rsid w:val="00644C06"/>
    <w:rsid w:val="00650C28"/>
    <w:rsid w:val="006513C0"/>
    <w:rsid w:val="006524F7"/>
    <w:rsid w:val="00653224"/>
    <w:rsid w:val="00657008"/>
    <w:rsid w:val="0065776C"/>
    <w:rsid w:val="00660764"/>
    <w:rsid w:val="00662E93"/>
    <w:rsid w:val="00664B95"/>
    <w:rsid w:val="00673ACD"/>
    <w:rsid w:val="006770D5"/>
    <w:rsid w:val="00680AF1"/>
    <w:rsid w:val="00680B50"/>
    <w:rsid w:val="00693BEA"/>
    <w:rsid w:val="006A294E"/>
    <w:rsid w:val="006A435E"/>
    <w:rsid w:val="006A5CD7"/>
    <w:rsid w:val="006A6A41"/>
    <w:rsid w:val="006A6DA5"/>
    <w:rsid w:val="006A7D96"/>
    <w:rsid w:val="006B6F9F"/>
    <w:rsid w:val="006C0F3C"/>
    <w:rsid w:val="006C29CB"/>
    <w:rsid w:val="006C5936"/>
    <w:rsid w:val="006C62E5"/>
    <w:rsid w:val="006D4865"/>
    <w:rsid w:val="006E4BE7"/>
    <w:rsid w:val="006E4E46"/>
    <w:rsid w:val="006F0422"/>
    <w:rsid w:val="006F211C"/>
    <w:rsid w:val="006F23CB"/>
    <w:rsid w:val="006F260D"/>
    <w:rsid w:val="006F6B5A"/>
    <w:rsid w:val="007002F2"/>
    <w:rsid w:val="0070066F"/>
    <w:rsid w:val="00702E40"/>
    <w:rsid w:val="00705282"/>
    <w:rsid w:val="0071250D"/>
    <w:rsid w:val="00712B98"/>
    <w:rsid w:val="007275F0"/>
    <w:rsid w:val="007370BB"/>
    <w:rsid w:val="00743251"/>
    <w:rsid w:val="0074797B"/>
    <w:rsid w:val="007537EB"/>
    <w:rsid w:val="00757A80"/>
    <w:rsid w:val="007604A0"/>
    <w:rsid w:val="0076197F"/>
    <w:rsid w:val="00762546"/>
    <w:rsid w:val="00764044"/>
    <w:rsid w:val="0076417D"/>
    <w:rsid w:val="00771C4A"/>
    <w:rsid w:val="00773EF6"/>
    <w:rsid w:val="0078024F"/>
    <w:rsid w:val="00793B8A"/>
    <w:rsid w:val="0079685C"/>
    <w:rsid w:val="0079740E"/>
    <w:rsid w:val="007A1C92"/>
    <w:rsid w:val="007A39BA"/>
    <w:rsid w:val="007A5E24"/>
    <w:rsid w:val="007B2F45"/>
    <w:rsid w:val="007B37A4"/>
    <w:rsid w:val="007B40DE"/>
    <w:rsid w:val="007B5532"/>
    <w:rsid w:val="007B6C73"/>
    <w:rsid w:val="007B79B2"/>
    <w:rsid w:val="007C2B7B"/>
    <w:rsid w:val="007C3435"/>
    <w:rsid w:val="007C5AC6"/>
    <w:rsid w:val="007C7D04"/>
    <w:rsid w:val="007D63A4"/>
    <w:rsid w:val="007E03D8"/>
    <w:rsid w:val="007E308F"/>
    <w:rsid w:val="007E5709"/>
    <w:rsid w:val="007F0D0E"/>
    <w:rsid w:val="007F0EB3"/>
    <w:rsid w:val="007F291D"/>
    <w:rsid w:val="007F328B"/>
    <w:rsid w:val="008048CB"/>
    <w:rsid w:val="0080553B"/>
    <w:rsid w:val="00811D4E"/>
    <w:rsid w:val="00813205"/>
    <w:rsid w:val="00813C76"/>
    <w:rsid w:val="00814705"/>
    <w:rsid w:val="00815BB6"/>
    <w:rsid w:val="00816881"/>
    <w:rsid w:val="0082102A"/>
    <w:rsid w:val="008210A5"/>
    <w:rsid w:val="00821449"/>
    <w:rsid w:val="00823A9B"/>
    <w:rsid w:val="0082581F"/>
    <w:rsid w:val="008528C7"/>
    <w:rsid w:val="00852AE2"/>
    <w:rsid w:val="00863C14"/>
    <w:rsid w:val="00866469"/>
    <w:rsid w:val="00870092"/>
    <w:rsid w:val="00874623"/>
    <w:rsid w:val="00876A8F"/>
    <w:rsid w:val="00877C83"/>
    <w:rsid w:val="00881310"/>
    <w:rsid w:val="00881D37"/>
    <w:rsid w:val="00884963"/>
    <w:rsid w:val="00884B87"/>
    <w:rsid w:val="00884BCC"/>
    <w:rsid w:val="00890EE9"/>
    <w:rsid w:val="008938C7"/>
    <w:rsid w:val="00894F73"/>
    <w:rsid w:val="008A09E9"/>
    <w:rsid w:val="008B1378"/>
    <w:rsid w:val="008B38F2"/>
    <w:rsid w:val="008B5E66"/>
    <w:rsid w:val="008B7356"/>
    <w:rsid w:val="008C05F8"/>
    <w:rsid w:val="008C3750"/>
    <w:rsid w:val="008C46B5"/>
    <w:rsid w:val="008C624A"/>
    <w:rsid w:val="008D13E6"/>
    <w:rsid w:val="008D5073"/>
    <w:rsid w:val="008E1F53"/>
    <w:rsid w:val="008E4745"/>
    <w:rsid w:val="008F36B6"/>
    <w:rsid w:val="008F6546"/>
    <w:rsid w:val="009022E1"/>
    <w:rsid w:val="009072AE"/>
    <w:rsid w:val="009126CA"/>
    <w:rsid w:val="00921946"/>
    <w:rsid w:val="00927208"/>
    <w:rsid w:val="009272DD"/>
    <w:rsid w:val="00931F42"/>
    <w:rsid w:val="0093486E"/>
    <w:rsid w:val="00934D53"/>
    <w:rsid w:val="0093530F"/>
    <w:rsid w:val="00945286"/>
    <w:rsid w:val="0095141B"/>
    <w:rsid w:val="009515A7"/>
    <w:rsid w:val="009530C4"/>
    <w:rsid w:val="00953525"/>
    <w:rsid w:val="00953FB1"/>
    <w:rsid w:val="009543B1"/>
    <w:rsid w:val="00955D89"/>
    <w:rsid w:val="0096295F"/>
    <w:rsid w:val="009650DA"/>
    <w:rsid w:val="00975609"/>
    <w:rsid w:val="00976557"/>
    <w:rsid w:val="009822B2"/>
    <w:rsid w:val="00990361"/>
    <w:rsid w:val="009A5ECD"/>
    <w:rsid w:val="009B30AC"/>
    <w:rsid w:val="009B3F8A"/>
    <w:rsid w:val="009B5AE0"/>
    <w:rsid w:val="009C1931"/>
    <w:rsid w:val="009C1F29"/>
    <w:rsid w:val="009C29B9"/>
    <w:rsid w:val="009D0006"/>
    <w:rsid w:val="009E1AE5"/>
    <w:rsid w:val="009E5364"/>
    <w:rsid w:val="009F3A77"/>
    <w:rsid w:val="00A03368"/>
    <w:rsid w:val="00A07BD4"/>
    <w:rsid w:val="00A16753"/>
    <w:rsid w:val="00A318C5"/>
    <w:rsid w:val="00A31A9F"/>
    <w:rsid w:val="00A41DD6"/>
    <w:rsid w:val="00A444F6"/>
    <w:rsid w:val="00A45AC4"/>
    <w:rsid w:val="00A5535A"/>
    <w:rsid w:val="00A62C35"/>
    <w:rsid w:val="00A6422D"/>
    <w:rsid w:val="00A64D71"/>
    <w:rsid w:val="00A66341"/>
    <w:rsid w:val="00A7479B"/>
    <w:rsid w:val="00A7722A"/>
    <w:rsid w:val="00A87BE0"/>
    <w:rsid w:val="00A87C3A"/>
    <w:rsid w:val="00A90E64"/>
    <w:rsid w:val="00A931F5"/>
    <w:rsid w:val="00A95022"/>
    <w:rsid w:val="00A979D1"/>
    <w:rsid w:val="00AA213B"/>
    <w:rsid w:val="00AA4B21"/>
    <w:rsid w:val="00AB0553"/>
    <w:rsid w:val="00AC2767"/>
    <w:rsid w:val="00AD3359"/>
    <w:rsid w:val="00AD6B9D"/>
    <w:rsid w:val="00AE3B37"/>
    <w:rsid w:val="00AE5A00"/>
    <w:rsid w:val="00AF0D20"/>
    <w:rsid w:val="00AF148B"/>
    <w:rsid w:val="00AF2D4C"/>
    <w:rsid w:val="00B1289B"/>
    <w:rsid w:val="00B12EB8"/>
    <w:rsid w:val="00B155A8"/>
    <w:rsid w:val="00B160A4"/>
    <w:rsid w:val="00B237D2"/>
    <w:rsid w:val="00B3563A"/>
    <w:rsid w:val="00B43F5F"/>
    <w:rsid w:val="00B45081"/>
    <w:rsid w:val="00B452CE"/>
    <w:rsid w:val="00B55899"/>
    <w:rsid w:val="00B60658"/>
    <w:rsid w:val="00B6280A"/>
    <w:rsid w:val="00B65937"/>
    <w:rsid w:val="00B6624A"/>
    <w:rsid w:val="00B67A38"/>
    <w:rsid w:val="00B71526"/>
    <w:rsid w:val="00B75925"/>
    <w:rsid w:val="00B7725A"/>
    <w:rsid w:val="00B8134D"/>
    <w:rsid w:val="00B8467E"/>
    <w:rsid w:val="00B95CBA"/>
    <w:rsid w:val="00BA60FE"/>
    <w:rsid w:val="00BB0355"/>
    <w:rsid w:val="00BB2EEE"/>
    <w:rsid w:val="00BB3199"/>
    <w:rsid w:val="00BB42ED"/>
    <w:rsid w:val="00BB671B"/>
    <w:rsid w:val="00BC3F97"/>
    <w:rsid w:val="00BC4140"/>
    <w:rsid w:val="00BC4484"/>
    <w:rsid w:val="00BD0E2B"/>
    <w:rsid w:val="00BD1328"/>
    <w:rsid w:val="00BD45F7"/>
    <w:rsid w:val="00BD70FE"/>
    <w:rsid w:val="00BD7245"/>
    <w:rsid w:val="00BE07D8"/>
    <w:rsid w:val="00BF08DF"/>
    <w:rsid w:val="00C005CC"/>
    <w:rsid w:val="00C00EE3"/>
    <w:rsid w:val="00C0283D"/>
    <w:rsid w:val="00C02A59"/>
    <w:rsid w:val="00C0635C"/>
    <w:rsid w:val="00C337B3"/>
    <w:rsid w:val="00C34919"/>
    <w:rsid w:val="00C403A9"/>
    <w:rsid w:val="00C43959"/>
    <w:rsid w:val="00C46AA8"/>
    <w:rsid w:val="00C563EB"/>
    <w:rsid w:val="00C572FA"/>
    <w:rsid w:val="00C61C8C"/>
    <w:rsid w:val="00C661D5"/>
    <w:rsid w:val="00C70B13"/>
    <w:rsid w:val="00C7113D"/>
    <w:rsid w:val="00C742CD"/>
    <w:rsid w:val="00C8005D"/>
    <w:rsid w:val="00C8104C"/>
    <w:rsid w:val="00C84C5A"/>
    <w:rsid w:val="00C955D2"/>
    <w:rsid w:val="00C96EF6"/>
    <w:rsid w:val="00CA17CD"/>
    <w:rsid w:val="00CA62E3"/>
    <w:rsid w:val="00CA7028"/>
    <w:rsid w:val="00CA7E9F"/>
    <w:rsid w:val="00CB79E6"/>
    <w:rsid w:val="00CC17BC"/>
    <w:rsid w:val="00CC73B3"/>
    <w:rsid w:val="00CC74BA"/>
    <w:rsid w:val="00CE1FB5"/>
    <w:rsid w:val="00CE23B1"/>
    <w:rsid w:val="00CE3B35"/>
    <w:rsid w:val="00CF32EB"/>
    <w:rsid w:val="00CF4E19"/>
    <w:rsid w:val="00CF6AE1"/>
    <w:rsid w:val="00CF7676"/>
    <w:rsid w:val="00D01F00"/>
    <w:rsid w:val="00D056CE"/>
    <w:rsid w:val="00D0574C"/>
    <w:rsid w:val="00D05CF0"/>
    <w:rsid w:val="00D11950"/>
    <w:rsid w:val="00D14911"/>
    <w:rsid w:val="00D158D1"/>
    <w:rsid w:val="00D177ED"/>
    <w:rsid w:val="00D17D51"/>
    <w:rsid w:val="00D3066D"/>
    <w:rsid w:val="00D317AB"/>
    <w:rsid w:val="00D31908"/>
    <w:rsid w:val="00D327E4"/>
    <w:rsid w:val="00D41685"/>
    <w:rsid w:val="00D57165"/>
    <w:rsid w:val="00D708D1"/>
    <w:rsid w:val="00D7327B"/>
    <w:rsid w:val="00D7565B"/>
    <w:rsid w:val="00D82852"/>
    <w:rsid w:val="00D82FA4"/>
    <w:rsid w:val="00D8393D"/>
    <w:rsid w:val="00D8420F"/>
    <w:rsid w:val="00D84465"/>
    <w:rsid w:val="00DA0FA0"/>
    <w:rsid w:val="00DA139F"/>
    <w:rsid w:val="00DA1828"/>
    <w:rsid w:val="00DA1F6E"/>
    <w:rsid w:val="00DA2079"/>
    <w:rsid w:val="00DA33F9"/>
    <w:rsid w:val="00DB6484"/>
    <w:rsid w:val="00DC04AE"/>
    <w:rsid w:val="00DC6870"/>
    <w:rsid w:val="00DD218B"/>
    <w:rsid w:val="00DD39AB"/>
    <w:rsid w:val="00DD5AD3"/>
    <w:rsid w:val="00DE48A5"/>
    <w:rsid w:val="00DE4FEB"/>
    <w:rsid w:val="00DE7B20"/>
    <w:rsid w:val="00DF6B3C"/>
    <w:rsid w:val="00E034B8"/>
    <w:rsid w:val="00E07539"/>
    <w:rsid w:val="00E07E72"/>
    <w:rsid w:val="00E11911"/>
    <w:rsid w:val="00E1794E"/>
    <w:rsid w:val="00E21061"/>
    <w:rsid w:val="00E27360"/>
    <w:rsid w:val="00E37302"/>
    <w:rsid w:val="00E40598"/>
    <w:rsid w:val="00E4129B"/>
    <w:rsid w:val="00E41F46"/>
    <w:rsid w:val="00E475AE"/>
    <w:rsid w:val="00E51E79"/>
    <w:rsid w:val="00E626E2"/>
    <w:rsid w:val="00E64D5F"/>
    <w:rsid w:val="00E67F39"/>
    <w:rsid w:val="00E72CB9"/>
    <w:rsid w:val="00E75B45"/>
    <w:rsid w:val="00E762A9"/>
    <w:rsid w:val="00E86261"/>
    <w:rsid w:val="00E86853"/>
    <w:rsid w:val="00E90275"/>
    <w:rsid w:val="00E90670"/>
    <w:rsid w:val="00E91206"/>
    <w:rsid w:val="00E93CAA"/>
    <w:rsid w:val="00EA11D4"/>
    <w:rsid w:val="00EA122D"/>
    <w:rsid w:val="00EA3631"/>
    <w:rsid w:val="00EA45A6"/>
    <w:rsid w:val="00EB2BDA"/>
    <w:rsid w:val="00EB34F4"/>
    <w:rsid w:val="00EB4B9E"/>
    <w:rsid w:val="00EC61B0"/>
    <w:rsid w:val="00EC6EA1"/>
    <w:rsid w:val="00ED1831"/>
    <w:rsid w:val="00ED1CF4"/>
    <w:rsid w:val="00ED2579"/>
    <w:rsid w:val="00ED32C8"/>
    <w:rsid w:val="00ED5233"/>
    <w:rsid w:val="00ED60B3"/>
    <w:rsid w:val="00EE175F"/>
    <w:rsid w:val="00EE1787"/>
    <w:rsid w:val="00EE1F8B"/>
    <w:rsid w:val="00EF15CD"/>
    <w:rsid w:val="00EF529C"/>
    <w:rsid w:val="00EF6127"/>
    <w:rsid w:val="00F01B73"/>
    <w:rsid w:val="00F03062"/>
    <w:rsid w:val="00F06AC7"/>
    <w:rsid w:val="00F138CC"/>
    <w:rsid w:val="00F17B44"/>
    <w:rsid w:val="00F2344E"/>
    <w:rsid w:val="00F24B2C"/>
    <w:rsid w:val="00F24D7E"/>
    <w:rsid w:val="00F3095B"/>
    <w:rsid w:val="00F31343"/>
    <w:rsid w:val="00F32128"/>
    <w:rsid w:val="00F32EDD"/>
    <w:rsid w:val="00F36569"/>
    <w:rsid w:val="00F401C3"/>
    <w:rsid w:val="00F421BC"/>
    <w:rsid w:val="00F60C54"/>
    <w:rsid w:val="00F6289D"/>
    <w:rsid w:val="00F64D1C"/>
    <w:rsid w:val="00F6771C"/>
    <w:rsid w:val="00F8128D"/>
    <w:rsid w:val="00F841A7"/>
    <w:rsid w:val="00F846D7"/>
    <w:rsid w:val="00F9394E"/>
    <w:rsid w:val="00FB107C"/>
    <w:rsid w:val="00FB1429"/>
    <w:rsid w:val="00FB1765"/>
    <w:rsid w:val="00FB79F4"/>
    <w:rsid w:val="00FC05E7"/>
    <w:rsid w:val="00FC0E58"/>
    <w:rsid w:val="00FC215A"/>
    <w:rsid w:val="00FC2E2C"/>
    <w:rsid w:val="00FC679E"/>
    <w:rsid w:val="00FD103A"/>
    <w:rsid w:val="00FD29CF"/>
    <w:rsid w:val="00FD5C18"/>
    <w:rsid w:val="00FD78CA"/>
    <w:rsid w:val="00FF1891"/>
    <w:rsid w:val="00FF1E80"/>
    <w:rsid w:val="00FF35F2"/>
    <w:rsid w:val="00FF55F7"/>
    <w:rsid w:val="00FF79A2"/>
    <w:rsid w:val="0B140FFE"/>
    <w:rsid w:val="0FE642E0"/>
    <w:rsid w:val="118F0311"/>
    <w:rsid w:val="21475BA0"/>
    <w:rsid w:val="28177609"/>
    <w:rsid w:val="2895052E"/>
    <w:rsid w:val="618620A5"/>
    <w:rsid w:val="673E35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3">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annotation text"/>
    <w:basedOn w:val="1"/>
    <w:link w:val="18"/>
    <w:uiPriority w:val="0"/>
    <w:pPr>
      <w:jc w:val="left"/>
    </w:pPr>
  </w:style>
  <w:style w:type="paragraph" w:styleId="4">
    <w:name w:val="Body Text Indent"/>
    <w:basedOn w:val="1"/>
    <w:uiPriority w:val="0"/>
    <w:pPr>
      <w:ind w:firstLine="420"/>
    </w:pPr>
    <w:rPr>
      <w:sz w:val="28"/>
      <w:szCs w:val="28"/>
    </w:rPr>
  </w:style>
  <w:style w:type="paragraph" w:styleId="5">
    <w:name w:val="Body Text Indent 2"/>
    <w:basedOn w:val="1"/>
    <w:link w:val="19"/>
    <w:uiPriority w:val="0"/>
    <w:pPr>
      <w:ind w:firstLine="560" w:firstLineChars="200"/>
    </w:pPr>
    <w:rPr>
      <w:sz w:val="28"/>
    </w:rPr>
  </w:style>
  <w:style w:type="paragraph" w:styleId="6">
    <w:name w:val="Balloon Text"/>
    <w:basedOn w:val="1"/>
    <w:link w:val="20"/>
    <w:uiPriority w:val="0"/>
    <w:rPr>
      <w:sz w:val="18"/>
      <w:szCs w:val="18"/>
    </w:rPr>
  </w:style>
  <w:style w:type="paragraph" w:styleId="7">
    <w:name w:val="footer"/>
    <w:basedOn w:val="1"/>
    <w:link w:val="21"/>
    <w:uiPriority w:val="99"/>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spacing w:line="560" w:lineRule="exact"/>
      <w:ind w:firstLine="562" w:firstLineChars="200"/>
    </w:pPr>
    <w:rPr>
      <w:b/>
      <w:bCs/>
      <w:sz w:val="28"/>
    </w:rPr>
  </w:style>
  <w:style w:type="paragraph" w:styleId="10">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3"/>
    <w:next w:val="3"/>
    <w:link w:val="22"/>
    <w:uiPriority w:val="0"/>
    <w:rPr>
      <w:b/>
      <w:bCs/>
    </w:rPr>
  </w:style>
  <w:style w:type="character" w:styleId="14">
    <w:name w:val="page number"/>
    <w:basedOn w:val="13"/>
    <w:uiPriority w:val="0"/>
  </w:style>
  <w:style w:type="character" w:styleId="15">
    <w:name w:val="FollowedHyperlink"/>
    <w:uiPriority w:val="0"/>
    <w:rPr>
      <w:color w:val="800080"/>
      <w:u w:val="single"/>
    </w:rPr>
  </w:style>
  <w:style w:type="character" w:styleId="16">
    <w:name w:val="Hyperlink"/>
    <w:uiPriority w:val="0"/>
    <w:rPr>
      <w:color w:val="0000FF"/>
      <w:u w:val="single"/>
    </w:rPr>
  </w:style>
  <w:style w:type="character" w:styleId="17">
    <w:name w:val="annotation reference"/>
    <w:uiPriority w:val="0"/>
    <w:rPr>
      <w:sz w:val="21"/>
      <w:szCs w:val="21"/>
    </w:rPr>
  </w:style>
  <w:style w:type="character" w:customStyle="1" w:styleId="18">
    <w:name w:val="批注文字 Char"/>
    <w:link w:val="3"/>
    <w:uiPriority w:val="0"/>
    <w:rPr>
      <w:kern w:val="2"/>
      <w:sz w:val="21"/>
      <w:szCs w:val="24"/>
    </w:rPr>
  </w:style>
  <w:style w:type="character" w:customStyle="1" w:styleId="19">
    <w:name w:val="正文文本缩进 2 Char"/>
    <w:link w:val="5"/>
    <w:uiPriority w:val="0"/>
    <w:rPr>
      <w:kern w:val="2"/>
      <w:sz w:val="28"/>
      <w:szCs w:val="24"/>
    </w:rPr>
  </w:style>
  <w:style w:type="character" w:customStyle="1" w:styleId="20">
    <w:name w:val="批注框文本 Char"/>
    <w:link w:val="6"/>
    <w:uiPriority w:val="0"/>
    <w:rPr>
      <w:kern w:val="2"/>
      <w:sz w:val="18"/>
      <w:szCs w:val="18"/>
    </w:rPr>
  </w:style>
  <w:style w:type="character" w:customStyle="1" w:styleId="21">
    <w:name w:val="页脚 Char"/>
    <w:link w:val="7"/>
    <w:uiPriority w:val="99"/>
    <w:rPr>
      <w:kern w:val="2"/>
      <w:sz w:val="18"/>
      <w:szCs w:val="18"/>
    </w:rPr>
  </w:style>
  <w:style w:type="character" w:customStyle="1" w:styleId="22">
    <w:name w:val="批注主题 Char"/>
    <w:link w:val="11"/>
    <w:uiPriority w:val="0"/>
    <w:rPr>
      <w:b/>
      <w:bCs/>
      <w:kern w:val="2"/>
      <w:sz w:val="21"/>
      <w:szCs w:val="24"/>
    </w:rPr>
  </w:style>
  <w:style w:type="character" w:customStyle="1" w:styleId="23">
    <w:name w:val="da"/>
    <w:basedOn w:val="13"/>
    <w:uiPriority w:val="0"/>
  </w:style>
  <w:style w:type="paragraph" w:customStyle="1" w:styleId="24">
    <w:name w:val=" Char Char1 Char"/>
    <w:basedOn w:val="1"/>
    <w:uiPriority w:val="0"/>
    <w:pPr>
      <w:tabs>
        <w:tab w:val="left" w:pos="360"/>
      </w:tabs>
    </w:pPr>
    <w:rPr>
      <w:sz w:val="24"/>
    </w:rPr>
  </w:style>
  <w:style w:type="paragraph" w:customStyle="1" w:styleId="25">
    <w:name w:val="Char Char1 Char"/>
    <w:basedOn w:val="1"/>
    <w:uiPriority w:val="0"/>
    <w:pPr>
      <w:tabs>
        <w:tab w:val="left" w:pos="360"/>
      </w:tabs>
    </w:pPr>
    <w:rPr>
      <w:sz w:val="24"/>
    </w:rPr>
  </w:style>
  <w:style w:type="paragraph" w:customStyle="1" w:styleId="26">
    <w:name w:val="Defaul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27">
    <w:name w:val="CM3"/>
    <w:basedOn w:val="26"/>
    <w:next w:val="26"/>
    <w:uiPriority w:val="0"/>
    <w:pPr>
      <w:spacing w:after="153"/>
    </w:pPr>
    <w:rPr>
      <w:rFonts w:cs="Times New Roman"/>
      <w:color w:val="auto"/>
    </w:rPr>
  </w:style>
  <w:style w:type="paragraph" w:customStyle="1" w:styleId="28">
    <w:name w:val="CM15"/>
    <w:basedOn w:val="26"/>
    <w:next w:val="26"/>
    <w:uiPriority w:val="0"/>
    <w:pPr>
      <w:spacing w:after="400"/>
    </w:pPr>
    <w:rPr>
      <w:rFonts w:cs="Times New Roman"/>
      <w:color w:val="auto"/>
    </w:rPr>
  </w:style>
  <w:style w:type="paragraph" w:customStyle="1" w:styleId="29">
    <w:name w:val="CM10"/>
    <w:basedOn w:val="26"/>
    <w:next w:val="26"/>
    <w:uiPriority w:val="0"/>
    <w:pPr>
      <w:spacing w:line="400" w:lineRule="atLeast"/>
    </w:pPr>
    <w:rPr>
      <w:rFonts w:cs="Times New Roman"/>
      <w:color w:val="auto"/>
    </w:rPr>
  </w:style>
  <w:style w:type="paragraph" w:customStyle="1" w:styleId="30">
    <w:name w:val=" Char Char Char1 Char"/>
    <w:basedOn w:val="2"/>
    <w:semiHidden/>
    <w:uiPriority w:val="0"/>
    <w:rPr>
      <w:rFonts w:ascii="Tahoma" w:hAnsi="Tahoma" w:cs="Tahoma"/>
      <w:kern w:val="0"/>
      <w:sz w:val="18"/>
    </w:rPr>
  </w:style>
  <w:style w:type="character" w:customStyle="1" w:styleId="31">
    <w:name w:val="apple-style-span"/>
    <w:basedOn w:val="1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feiya</Company>
  <Pages>6</Pages>
  <Words>4069</Words>
  <Characters>5368</Characters>
  <Lines>12</Lines>
  <Paragraphs>3</Paragraphs>
  <TotalTime>0</TotalTime>
  <ScaleCrop>false</ScaleCrop>
  <LinksUpToDate>false</LinksUpToDate>
  <CharactersWithSpaces>5449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2022-05-09T06:25:00Z</dcterms:created>
  <dc:creator>dingmin</dc:creator>
  <cp:lastModifiedBy>WSY</cp:lastModifiedBy>
  <cp:lastPrinted>2020-06-23T08:38:00Z</cp:lastPrinted>
  <dcterms:modified xsi:type="dcterms:W3CDTF">2023-10-09T09:55:54Z</dcterms:modified>
  <dc:title>证券代码：002042   证券简称：飞亚股份   公告编号：飞亚公告[2006]012号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07949A5650594E7A984CA0E05638B7FC_13</vt:lpwstr>
  </property>
</Properties>
</file>