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ind w:firstLine="440"/>
        <w:rPr>
          <w:rFonts w:ascii="Times New Roman" w:hAnsi="Times New Roman"/>
          <w:sz w:val="22"/>
        </w:rPr>
      </w:pPr>
    </w:p>
    <w:p>
      <w:pPr>
        <w:widowControl w:val="0"/>
        <w:adjustRightInd w:val="0"/>
        <w:snapToGrid w:val="0"/>
        <w:ind w:firstLine="0" w:firstLineChars="0"/>
        <w:jc w:val="center"/>
        <w:rPr>
          <w:rFonts w:ascii="Times New Roman" w:hAnsi="Times New Roman"/>
          <w:b/>
          <w:sz w:val="36"/>
        </w:rPr>
      </w:pPr>
      <w:r>
        <w:rPr>
          <w:rFonts w:ascii="Times New Roman" w:hAnsi="Times New Roman"/>
          <w:b/>
          <w:sz w:val="36"/>
        </w:rPr>
        <w:t>北京市</w:t>
      </w:r>
      <w:r>
        <w:rPr>
          <w:rFonts w:hint="eastAsia" w:ascii="Times New Roman" w:hAnsi="Times New Roman"/>
          <w:b/>
          <w:sz w:val="36"/>
        </w:rPr>
        <w:t>君泽君（上海）</w:t>
      </w:r>
      <w:r>
        <w:rPr>
          <w:rFonts w:ascii="Times New Roman" w:hAnsi="Times New Roman"/>
          <w:b/>
          <w:sz w:val="36"/>
        </w:rPr>
        <w:t>律师事务所</w:t>
      </w:r>
    </w:p>
    <w:p>
      <w:pPr>
        <w:widowControl w:val="0"/>
        <w:adjustRightInd w:val="0"/>
        <w:snapToGrid w:val="0"/>
        <w:ind w:firstLine="723"/>
        <w:jc w:val="center"/>
        <w:rPr>
          <w:rFonts w:ascii="Times New Roman" w:hAnsi="Times New Roman"/>
          <w:b/>
          <w:sz w:val="36"/>
        </w:rPr>
      </w:pPr>
    </w:p>
    <w:p>
      <w:pPr>
        <w:widowControl w:val="0"/>
        <w:adjustRightInd w:val="0"/>
        <w:snapToGrid w:val="0"/>
        <w:ind w:firstLine="0" w:firstLineChars="0"/>
        <w:jc w:val="center"/>
        <w:rPr>
          <w:rFonts w:ascii="Times New Roman" w:hAnsi="Times New Roman"/>
          <w:b/>
          <w:sz w:val="36"/>
        </w:rPr>
      </w:pPr>
      <w:r>
        <w:rPr>
          <w:rFonts w:hint="eastAsia" w:ascii="Times New Roman" w:hAnsi="Times New Roman"/>
          <w:b/>
          <w:sz w:val="36"/>
        </w:rPr>
        <w:t>关于</w:t>
      </w:r>
    </w:p>
    <w:p>
      <w:pPr>
        <w:widowControl w:val="0"/>
        <w:adjustRightInd w:val="0"/>
        <w:snapToGrid w:val="0"/>
        <w:ind w:firstLine="0" w:firstLineChars="0"/>
        <w:jc w:val="center"/>
        <w:rPr>
          <w:rFonts w:ascii="Times New Roman" w:hAnsi="Times New Roman"/>
          <w:b/>
          <w:sz w:val="36"/>
        </w:rPr>
      </w:pPr>
      <w:r>
        <w:rPr>
          <w:rFonts w:hint="eastAsia" w:ascii="Times New Roman" w:hAnsi="Times New Roman"/>
          <w:b/>
          <w:sz w:val="36"/>
        </w:rPr>
        <w:t>华孚时尚股份有限公司</w:t>
      </w:r>
    </w:p>
    <w:p>
      <w:pPr>
        <w:widowControl w:val="0"/>
        <w:adjustRightInd w:val="0"/>
        <w:snapToGrid w:val="0"/>
        <w:ind w:firstLine="0" w:firstLineChars="0"/>
        <w:jc w:val="center"/>
        <w:rPr>
          <w:rFonts w:hint="eastAsia" w:ascii="Times New Roman" w:hAnsi="Times New Roman"/>
          <w:b/>
          <w:sz w:val="36"/>
        </w:rPr>
      </w:pPr>
      <w:r>
        <w:rPr>
          <w:rFonts w:hint="eastAsia" w:ascii="Times New Roman" w:hAnsi="Times New Roman"/>
          <w:b/>
          <w:sz w:val="36"/>
          <w:lang w:val="en-US" w:eastAsia="zh-Hans"/>
        </w:rPr>
        <w:t>终止实施</w:t>
      </w:r>
      <w:r>
        <w:rPr>
          <w:rFonts w:hint="eastAsia" w:ascii="Times New Roman" w:hAnsi="Times New Roman"/>
          <w:b/>
          <w:sz w:val="36"/>
        </w:rPr>
        <w:t>2</w:t>
      </w:r>
      <w:r>
        <w:rPr>
          <w:rFonts w:ascii="Times New Roman" w:hAnsi="Times New Roman"/>
          <w:b/>
          <w:sz w:val="36"/>
        </w:rPr>
        <w:t>021</w:t>
      </w:r>
      <w:r>
        <w:rPr>
          <w:rFonts w:hint="eastAsia" w:ascii="Times New Roman" w:hAnsi="Times New Roman"/>
          <w:b/>
          <w:sz w:val="36"/>
        </w:rPr>
        <w:t>年股票期权激励计划</w:t>
      </w:r>
    </w:p>
    <w:p>
      <w:pPr>
        <w:widowControl w:val="0"/>
        <w:adjustRightInd w:val="0"/>
        <w:snapToGrid w:val="0"/>
        <w:ind w:firstLine="0" w:firstLineChars="0"/>
        <w:jc w:val="center"/>
        <w:rPr>
          <w:rFonts w:ascii="Times New Roman" w:hAnsi="Times New Roman"/>
          <w:b/>
          <w:sz w:val="36"/>
        </w:rPr>
      </w:pPr>
      <w:r>
        <w:rPr>
          <w:rFonts w:hint="eastAsia" w:ascii="Times New Roman" w:hAnsi="Times New Roman"/>
          <w:b/>
          <w:sz w:val="36"/>
          <w:lang w:val="en-US" w:eastAsia="zh-Hans"/>
        </w:rPr>
        <w:t>并注销股票期权</w:t>
      </w:r>
      <w:r>
        <w:rPr>
          <w:rFonts w:hint="eastAsia" w:ascii="Times New Roman" w:hAnsi="Times New Roman"/>
          <w:b/>
          <w:sz w:val="36"/>
        </w:rPr>
        <w:t>的</w:t>
      </w:r>
    </w:p>
    <w:p>
      <w:pPr>
        <w:widowControl w:val="0"/>
        <w:adjustRightInd w:val="0"/>
        <w:snapToGrid w:val="0"/>
        <w:ind w:firstLine="723"/>
        <w:jc w:val="center"/>
        <w:rPr>
          <w:rFonts w:ascii="Times New Roman" w:hAnsi="Times New Roman"/>
          <w:b/>
          <w:sz w:val="36"/>
        </w:rPr>
      </w:pPr>
    </w:p>
    <w:p>
      <w:pPr>
        <w:widowControl w:val="0"/>
        <w:adjustRightInd w:val="0"/>
        <w:snapToGrid w:val="0"/>
        <w:ind w:firstLine="0" w:firstLineChars="0"/>
        <w:jc w:val="center"/>
        <w:rPr>
          <w:rFonts w:ascii="Times New Roman" w:hAnsi="Times New Roman"/>
          <w:b/>
          <w:sz w:val="36"/>
        </w:rPr>
      </w:pPr>
      <w:r>
        <w:rPr>
          <w:rFonts w:hint="eastAsia" w:ascii="Times New Roman" w:hAnsi="Times New Roman"/>
          <w:b/>
          <w:sz w:val="36"/>
        </w:rPr>
        <w:t>法律意见书</w:t>
      </w: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rPr>
          <w:rFonts w:ascii="Times New Roman" w:hAnsi="Times New Roman"/>
        </w:rPr>
      </w:pPr>
    </w:p>
    <w:p>
      <w:pPr>
        <w:widowControl w:val="0"/>
        <w:adjustRightInd w:val="0"/>
        <w:snapToGrid w:val="0"/>
        <w:ind w:firstLine="0" w:firstLineChars="0"/>
        <w:jc w:val="center"/>
        <w:rPr>
          <w:rFonts w:ascii="Times New Roman" w:hAnsi="Times New Roman"/>
        </w:rPr>
      </w:pPr>
      <w:r>
        <w:rPr>
          <w:rFonts w:ascii="Times New Roman" w:hAnsi="Times New Roman"/>
        </w:rPr>
        <w:drawing>
          <wp:inline distT="0" distB="0" distL="0" distR="0">
            <wp:extent cx="1904365" cy="393700"/>
            <wp:effectExtent l="0" t="0" r="635" b="12700"/>
            <wp:docPr id="4" name="图片 4" descr="/Users/zhangxiao/Desktop/君泽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zhangxiao/Desktop/君泽君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96837" cy="413180"/>
                    </a:xfrm>
                    <a:prstGeom prst="rect">
                      <a:avLst/>
                    </a:prstGeom>
                    <a:noFill/>
                    <a:ln>
                      <a:noFill/>
                    </a:ln>
                  </pic:spPr>
                </pic:pic>
              </a:graphicData>
            </a:graphic>
          </wp:inline>
        </w:drawing>
      </w:r>
    </w:p>
    <w:p>
      <w:pPr>
        <w:widowControl w:val="0"/>
        <w:adjustRightInd w:val="0"/>
        <w:snapToGrid w:val="0"/>
        <w:ind w:firstLine="360"/>
        <w:jc w:val="center"/>
        <w:rPr>
          <w:rFonts w:ascii="Times New Roman" w:hAnsi="Times New Roman"/>
          <w:sz w:val="18"/>
        </w:rPr>
      </w:pPr>
    </w:p>
    <w:p>
      <w:pPr>
        <w:adjustRightInd w:val="0"/>
        <w:snapToGrid w:val="0"/>
        <w:ind w:firstLine="360"/>
        <w:jc w:val="center"/>
        <w:rPr>
          <w:rFonts w:ascii="Times New Roman" w:hAnsi="Times New Roman" w:cs="楷体"/>
          <w:color w:val="000000" w:themeColor="text1"/>
          <w:sz w:val="18"/>
          <w14:textFill>
            <w14:solidFill>
              <w14:schemeClr w14:val="tx1"/>
            </w14:solidFill>
          </w14:textFill>
        </w:rPr>
      </w:pPr>
      <w:r>
        <w:rPr>
          <w:rFonts w:hint="eastAsia" w:ascii="Times New Roman" w:hAnsi="Times New Roman" w:cs="楷体"/>
          <w:color w:val="000000" w:themeColor="text1"/>
          <w:sz w:val="18"/>
          <w14:textFill>
            <w14:solidFill>
              <w14:schemeClr w14:val="tx1"/>
            </w14:solidFill>
          </w14:textFill>
        </w:rPr>
        <w:t>上海市浦东新区杨高南路729号陆家嘴世纪金融广场1号楼</w:t>
      </w:r>
      <w:r>
        <w:rPr>
          <w:rFonts w:ascii="Times New Roman" w:hAnsi="Times New Roman" w:cs="楷体"/>
          <w:color w:val="000000" w:themeColor="text1"/>
          <w:sz w:val="18"/>
          <w14:textFill>
            <w14:solidFill>
              <w14:schemeClr w14:val="tx1"/>
            </w14:solidFill>
          </w14:textFill>
        </w:rPr>
        <w:t>40</w:t>
      </w:r>
      <w:r>
        <w:rPr>
          <w:rFonts w:hint="eastAsia" w:ascii="Times New Roman" w:hAnsi="Times New Roman" w:cs="楷体"/>
          <w:color w:val="000000" w:themeColor="text1"/>
          <w:sz w:val="18"/>
          <w14:textFill>
            <w14:solidFill>
              <w14:schemeClr w14:val="tx1"/>
            </w14:solidFill>
          </w14:textFill>
        </w:rPr>
        <w:t>层，邮编：200127</w:t>
      </w:r>
    </w:p>
    <w:p>
      <w:pPr>
        <w:adjustRightInd w:val="0"/>
        <w:snapToGrid w:val="0"/>
        <w:ind w:firstLine="360"/>
        <w:jc w:val="center"/>
        <w:rPr>
          <w:rFonts w:ascii="Times New Roman" w:hAnsi="Times New Roman" w:cs="楷体"/>
          <w:color w:val="000000" w:themeColor="text1"/>
          <w:sz w:val="18"/>
          <w14:textFill>
            <w14:solidFill>
              <w14:schemeClr w14:val="tx1"/>
            </w14:solidFill>
          </w14:textFill>
        </w:rPr>
      </w:pPr>
      <w:r>
        <w:rPr>
          <w:rFonts w:ascii="Times New Roman" w:hAnsi="Times New Roman" w:cs="楷体"/>
          <w:color w:val="000000" w:themeColor="text1"/>
          <w:sz w:val="18"/>
          <w14:textFill>
            <w14:solidFill>
              <w14:schemeClr w14:val="tx1"/>
            </w14:solidFill>
          </w14:textFill>
        </w:rPr>
        <w:t>40</w:t>
      </w:r>
      <w:r>
        <w:rPr>
          <w:rFonts w:hint="eastAsia" w:ascii="Times New Roman" w:hAnsi="Times New Roman" w:cs="楷体"/>
          <w:color w:val="000000" w:themeColor="text1"/>
          <w:sz w:val="18"/>
          <w14:textFill>
            <w14:solidFill>
              <w14:schemeClr w14:val="tx1"/>
            </w14:solidFill>
          </w14:textFill>
        </w:rPr>
        <w:t xml:space="preserve"> Floor</w:t>
      </w:r>
      <w:r>
        <w:rPr>
          <w:rFonts w:ascii="Times New Roman" w:hAnsi="Times New Roman" w:cs="楷体"/>
          <w:color w:val="000000" w:themeColor="text1"/>
          <w:sz w:val="18"/>
          <w14:textFill>
            <w14:solidFill>
              <w14:schemeClr w14:val="tx1"/>
            </w14:solidFill>
          </w14:textFill>
        </w:rPr>
        <w:t>,</w:t>
      </w:r>
      <w:r>
        <w:rPr>
          <w:rFonts w:hint="eastAsia" w:ascii="Times New Roman" w:hAnsi="Times New Roman" w:cs="楷体"/>
          <w:color w:val="000000" w:themeColor="text1"/>
          <w:sz w:val="18"/>
          <w14:textFill>
            <w14:solidFill>
              <w14:schemeClr w14:val="tx1"/>
            </w14:solidFill>
          </w14:textFill>
        </w:rPr>
        <w:t>NO.1 Building,Lujiazui Century Financial</w:t>
      </w:r>
      <w:r>
        <w:rPr>
          <w:rFonts w:ascii="Times New Roman" w:hAnsi="Times New Roman" w:cs="楷体"/>
          <w:color w:val="000000" w:themeColor="text1"/>
          <w:sz w:val="18"/>
          <w14:textFill>
            <w14:solidFill>
              <w14:schemeClr w14:val="tx1"/>
            </w14:solidFill>
          </w14:textFill>
        </w:rPr>
        <w:t xml:space="preserve"> </w:t>
      </w:r>
      <w:r>
        <w:rPr>
          <w:rFonts w:hint="eastAsia" w:ascii="Times New Roman" w:hAnsi="Times New Roman" w:cs="楷体"/>
          <w:color w:val="000000" w:themeColor="text1"/>
          <w:sz w:val="18"/>
          <w14:textFill>
            <w14:solidFill>
              <w14:schemeClr w14:val="tx1"/>
            </w14:solidFill>
          </w14:textFill>
        </w:rPr>
        <w:t>Plaza,729 South Yanggao</w:t>
      </w:r>
      <w:r>
        <w:rPr>
          <w:rFonts w:ascii="Times New Roman" w:hAnsi="Times New Roman" w:cs="楷体"/>
          <w:color w:val="000000" w:themeColor="text1"/>
          <w:sz w:val="18"/>
          <w14:textFill>
            <w14:solidFill>
              <w14:schemeClr w14:val="tx1"/>
            </w14:solidFill>
          </w14:textFill>
        </w:rPr>
        <w:t xml:space="preserve"> </w:t>
      </w:r>
      <w:r>
        <w:rPr>
          <w:rFonts w:hint="eastAsia" w:ascii="Times New Roman" w:hAnsi="Times New Roman" w:cs="楷体"/>
          <w:color w:val="000000" w:themeColor="text1"/>
          <w:sz w:val="18"/>
          <w14:textFill>
            <w14:solidFill>
              <w14:schemeClr w14:val="tx1"/>
            </w14:solidFill>
          </w14:textFill>
        </w:rPr>
        <w:t>Road,Shanghai,P.R.China</w:t>
      </w:r>
    </w:p>
    <w:p>
      <w:pPr>
        <w:adjustRightInd w:val="0"/>
        <w:snapToGrid w:val="0"/>
        <w:ind w:firstLine="360"/>
        <w:rPr>
          <w:rFonts w:ascii="Times New Roman" w:hAnsi="Times New Roman" w:cs="楷体"/>
          <w:color w:val="000000" w:themeColor="text1"/>
          <w:sz w:val="1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26" w:charSpace="0"/>
        </w:sectPr>
      </w:pPr>
      <w:r>
        <w:rPr>
          <w:rFonts w:hint="eastAsia" w:ascii="Times New Roman" w:hAnsi="Times New Roman" w:cs="楷体"/>
          <w:color w:val="000000" w:themeColor="text1"/>
          <w:sz w:val="18"/>
          <w14:textFill>
            <w14:solidFill>
              <w14:schemeClr w14:val="tx1"/>
            </w14:solidFill>
          </w14:textFill>
        </w:rPr>
        <w:t xml:space="preserve">电话（Tel）:（86 21）6106 0889  </w:t>
      </w:r>
      <w:r>
        <w:rPr>
          <w:rFonts w:ascii="Times New Roman" w:hAnsi="Times New Roman" w:cs="楷体"/>
          <w:color w:val="000000" w:themeColor="text1"/>
          <w:sz w:val="18"/>
          <w14:textFill>
            <w14:solidFill>
              <w14:schemeClr w14:val="tx1"/>
            </w14:solidFill>
          </w14:textFill>
        </w:rPr>
        <w:t xml:space="preserve"> </w:t>
      </w:r>
      <w:r>
        <w:rPr>
          <w:rFonts w:hint="eastAsia" w:ascii="Times New Roman" w:hAnsi="Times New Roman" w:cs="楷体"/>
          <w:color w:val="000000" w:themeColor="text1"/>
          <w:sz w:val="18"/>
          <w14:textFill>
            <w14:solidFill>
              <w14:schemeClr w14:val="tx1"/>
            </w14:solidFill>
          </w14:textFill>
        </w:rPr>
        <w:t>传真（Fax）</w:t>
      </w:r>
      <w:r>
        <w:rPr>
          <w:rFonts w:ascii="Times New Roman" w:hAnsi="Times New Roman" w:cs="楷体"/>
          <w:color w:val="000000" w:themeColor="text1"/>
          <w:sz w:val="18"/>
          <w14:textFill>
            <w14:solidFill>
              <w14:schemeClr w14:val="tx1"/>
            </w14:solidFill>
          </w14:textFill>
        </w:rPr>
        <w:t>:</w:t>
      </w:r>
      <w:r>
        <w:rPr>
          <w:rFonts w:hint="eastAsia" w:ascii="Times New Roman" w:hAnsi="Times New Roman" w:cs="楷体"/>
          <w:color w:val="000000" w:themeColor="text1"/>
          <w:sz w:val="18"/>
          <w14:textFill>
            <w14:solidFill>
              <w14:schemeClr w14:val="tx1"/>
            </w14:solidFill>
          </w14:textFill>
        </w:rPr>
        <w:t>（86 21）6106 0890   网址(Website): www.junzejun.c</w:t>
      </w:r>
      <w:r>
        <w:rPr>
          <w:rFonts w:ascii="Times New Roman" w:hAnsi="Times New Roman" w:cs="楷体"/>
          <w:color w:val="000000" w:themeColor="text1"/>
          <w:sz w:val="18"/>
          <w14:textFill>
            <w14:solidFill>
              <w14:schemeClr w14:val="tx1"/>
            </w14:solidFill>
          </w14:textFill>
        </w:rPr>
        <w:t>om</w:t>
      </w:r>
    </w:p>
    <w:p>
      <w:pPr>
        <w:widowControl w:val="0"/>
        <w:adjustRightInd w:val="0"/>
        <w:snapToGrid w:val="0"/>
        <w:ind w:firstLine="0" w:firstLineChars="0"/>
        <w:rPr>
          <w:rFonts w:ascii="Times New Roman" w:hAnsi="Times New Roman"/>
          <w:b/>
          <w:sz w:val="28"/>
          <w:szCs w:val="28"/>
        </w:rPr>
      </w:pPr>
    </w:p>
    <w:p>
      <w:pPr>
        <w:widowControl w:val="0"/>
        <w:adjustRightInd w:val="0"/>
        <w:snapToGrid w:val="0"/>
        <w:ind w:firstLine="0" w:firstLineChars="0"/>
        <w:jc w:val="center"/>
        <w:rPr>
          <w:rFonts w:ascii="Times New Roman" w:hAnsi="Times New Roman"/>
          <w:b/>
          <w:sz w:val="28"/>
          <w:szCs w:val="28"/>
        </w:rPr>
      </w:pPr>
      <w:r>
        <w:rPr>
          <w:rFonts w:hint="eastAsia" w:ascii="Times New Roman" w:hAnsi="Times New Roman"/>
          <w:b/>
          <w:sz w:val="28"/>
          <w:szCs w:val="28"/>
          <w:lang w:val="zh-CN"/>
        </w:rPr>
        <w:t>北京市君泽君</w:t>
      </w:r>
      <w:r>
        <w:rPr>
          <w:rFonts w:hint="eastAsia" w:ascii="Times New Roman" w:hAnsi="Times New Roman"/>
          <w:b/>
          <w:sz w:val="28"/>
          <w:szCs w:val="28"/>
        </w:rPr>
        <w:t>（</w:t>
      </w:r>
      <w:r>
        <w:rPr>
          <w:rFonts w:hint="eastAsia" w:ascii="Times New Roman" w:hAnsi="Times New Roman"/>
          <w:b/>
          <w:sz w:val="28"/>
          <w:szCs w:val="28"/>
          <w:lang w:val="zh-CN"/>
        </w:rPr>
        <w:t>上海</w:t>
      </w:r>
      <w:r>
        <w:rPr>
          <w:rFonts w:hint="eastAsia" w:ascii="Times New Roman" w:hAnsi="Times New Roman"/>
          <w:b/>
          <w:sz w:val="28"/>
          <w:szCs w:val="28"/>
        </w:rPr>
        <w:t>）</w:t>
      </w:r>
      <w:r>
        <w:rPr>
          <w:rFonts w:hint="eastAsia" w:ascii="Times New Roman" w:hAnsi="Times New Roman"/>
          <w:b/>
          <w:sz w:val="28"/>
          <w:szCs w:val="28"/>
          <w:lang w:val="zh-CN"/>
        </w:rPr>
        <w:t>律师事务所</w:t>
      </w:r>
    </w:p>
    <w:p>
      <w:pPr>
        <w:widowControl w:val="0"/>
        <w:adjustRightInd w:val="0"/>
        <w:snapToGrid w:val="0"/>
        <w:ind w:firstLine="0" w:firstLineChars="0"/>
        <w:jc w:val="center"/>
        <w:rPr>
          <w:rFonts w:ascii="Times New Roman" w:hAnsi="Times New Roman"/>
          <w:b/>
          <w:sz w:val="28"/>
          <w:szCs w:val="28"/>
          <w:lang w:val="zh-CN"/>
        </w:rPr>
      </w:pPr>
      <w:r>
        <w:rPr>
          <w:rFonts w:hint="eastAsia" w:ascii="Times New Roman" w:hAnsi="Times New Roman"/>
          <w:b/>
          <w:sz w:val="28"/>
          <w:szCs w:val="28"/>
          <w:lang w:val="zh-CN"/>
        </w:rPr>
        <w:t>关于</w:t>
      </w:r>
    </w:p>
    <w:p>
      <w:pPr>
        <w:widowControl w:val="0"/>
        <w:adjustRightInd w:val="0"/>
        <w:snapToGrid w:val="0"/>
        <w:ind w:firstLine="0" w:firstLineChars="0"/>
        <w:jc w:val="center"/>
        <w:rPr>
          <w:rFonts w:hint="eastAsia" w:ascii="Times New Roman" w:hAnsi="Times New Roman"/>
          <w:b/>
          <w:sz w:val="28"/>
          <w:szCs w:val="28"/>
          <w:lang w:val="zh-CN"/>
        </w:rPr>
      </w:pPr>
      <w:r>
        <w:rPr>
          <w:rFonts w:hint="eastAsia" w:ascii="Times New Roman" w:hAnsi="Times New Roman"/>
          <w:b/>
          <w:sz w:val="28"/>
          <w:szCs w:val="28"/>
          <w:lang w:val="zh-CN"/>
        </w:rPr>
        <w:t>华孚时尚股份有限公司</w:t>
      </w:r>
      <w:r>
        <w:rPr>
          <w:rFonts w:hint="eastAsia" w:ascii="Times New Roman" w:hAnsi="Times New Roman"/>
          <w:b/>
          <w:sz w:val="28"/>
          <w:szCs w:val="28"/>
          <w:lang w:val="en-US" w:eastAsia="zh-Hans"/>
        </w:rPr>
        <w:t>终止实施</w:t>
      </w:r>
      <w:r>
        <w:rPr>
          <w:rFonts w:hint="eastAsia" w:ascii="Times New Roman" w:hAnsi="Times New Roman"/>
          <w:b/>
          <w:sz w:val="28"/>
          <w:szCs w:val="28"/>
          <w:lang w:val="zh-CN"/>
        </w:rPr>
        <w:t>2</w:t>
      </w:r>
      <w:r>
        <w:rPr>
          <w:rFonts w:ascii="Times New Roman" w:hAnsi="Times New Roman"/>
          <w:b/>
          <w:sz w:val="28"/>
          <w:szCs w:val="28"/>
          <w:lang w:val="zh-CN"/>
        </w:rPr>
        <w:t>021</w:t>
      </w:r>
      <w:r>
        <w:rPr>
          <w:rFonts w:hint="eastAsia" w:ascii="Times New Roman" w:hAnsi="Times New Roman"/>
          <w:b/>
          <w:sz w:val="28"/>
          <w:szCs w:val="28"/>
          <w:lang w:val="zh-CN"/>
        </w:rPr>
        <w:t>年股票期权激励计划</w:t>
      </w:r>
    </w:p>
    <w:p>
      <w:pPr>
        <w:widowControl w:val="0"/>
        <w:adjustRightInd w:val="0"/>
        <w:snapToGrid w:val="0"/>
        <w:ind w:firstLine="0" w:firstLineChars="0"/>
        <w:jc w:val="center"/>
        <w:rPr>
          <w:rFonts w:ascii="Times New Roman" w:hAnsi="Times New Roman"/>
          <w:b/>
          <w:sz w:val="28"/>
          <w:szCs w:val="28"/>
          <w:lang w:val="zh-CN"/>
        </w:rPr>
      </w:pPr>
      <w:r>
        <w:rPr>
          <w:rFonts w:hint="eastAsia" w:ascii="Times New Roman" w:hAnsi="Times New Roman"/>
          <w:b/>
          <w:sz w:val="28"/>
          <w:szCs w:val="28"/>
          <w:lang w:val="en-US" w:eastAsia="zh-Hans"/>
        </w:rPr>
        <w:t>并注销股票期权</w:t>
      </w:r>
      <w:r>
        <w:rPr>
          <w:rFonts w:hint="eastAsia" w:ascii="Times New Roman" w:hAnsi="Times New Roman"/>
          <w:b/>
          <w:sz w:val="28"/>
          <w:szCs w:val="28"/>
          <w:lang w:val="zh-CN"/>
        </w:rPr>
        <w:t>的</w:t>
      </w:r>
    </w:p>
    <w:p>
      <w:pPr>
        <w:widowControl w:val="0"/>
        <w:adjustRightInd w:val="0"/>
        <w:snapToGrid w:val="0"/>
        <w:ind w:firstLine="0" w:firstLineChars="0"/>
        <w:jc w:val="center"/>
        <w:rPr>
          <w:rFonts w:ascii="Times New Roman" w:hAnsi="Times New Roman"/>
          <w:b/>
          <w:sz w:val="28"/>
          <w:szCs w:val="28"/>
          <w:lang w:val="zh-CN"/>
        </w:rPr>
      </w:pPr>
      <w:r>
        <w:rPr>
          <w:rFonts w:hint="eastAsia" w:ascii="Times New Roman" w:hAnsi="Times New Roman"/>
          <w:b/>
          <w:sz w:val="28"/>
          <w:szCs w:val="28"/>
          <w:lang w:val="zh-CN"/>
        </w:rPr>
        <w:t>法律意见书</w:t>
      </w:r>
    </w:p>
    <w:p>
      <w:pPr>
        <w:widowControl w:val="0"/>
        <w:adjustRightInd w:val="0"/>
        <w:snapToGrid w:val="0"/>
        <w:ind w:firstLine="0" w:firstLineChars="0"/>
        <w:rPr>
          <w:rFonts w:ascii="Times New Roman" w:hAnsi="Times New Roman"/>
          <w:bCs/>
        </w:rPr>
      </w:pPr>
    </w:p>
    <w:p>
      <w:pPr>
        <w:widowControl w:val="0"/>
        <w:adjustRightInd w:val="0"/>
        <w:snapToGrid w:val="0"/>
        <w:ind w:firstLine="0" w:firstLineChars="0"/>
        <w:jc w:val="right"/>
        <w:rPr>
          <w:rFonts w:ascii="Times New Roman" w:hAnsi="Times New Roman"/>
          <w:bCs/>
          <w:sz w:val="21"/>
          <w:szCs w:val="21"/>
        </w:rPr>
      </w:pPr>
      <w:r>
        <w:rPr>
          <w:rFonts w:hint="eastAsia" w:ascii="Times New Roman" w:hAnsi="Times New Roman"/>
          <w:bCs/>
          <w:sz w:val="21"/>
          <w:szCs w:val="21"/>
        </w:rPr>
        <w:t>君泽君</w:t>
      </w:r>
      <w:r>
        <w:rPr>
          <w:rFonts w:hint="default" w:ascii="Times New Roman" w:hAnsi="Times New Roman"/>
          <w:bCs/>
          <w:sz w:val="21"/>
          <w:szCs w:val="21"/>
        </w:rPr>
        <w:t>[</w:t>
      </w:r>
      <w:r>
        <w:rPr>
          <w:rFonts w:hint="eastAsia" w:ascii="Times New Roman" w:hAnsi="Times New Roman"/>
          <w:bCs/>
          <w:sz w:val="21"/>
          <w:szCs w:val="21"/>
        </w:rPr>
        <w:t>2023</w:t>
      </w:r>
      <w:r>
        <w:rPr>
          <w:rFonts w:hint="default" w:ascii="Times New Roman" w:hAnsi="Times New Roman"/>
          <w:bCs/>
          <w:sz w:val="21"/>
          <w:szCs w:val="21"/>
        </w:rPr>
        <w:t>]</w:t>
      </w:r>
      <w:r>
        <w:rPr>
          <w:rFonts w:hint="eastAsia" w:ascii="Times New Roman" w:hAnsi="Times New Roman"/>
          <w:bCs/>
          <w:sz w:val="21"/>
          <w:szCs w:val="21"/>
        </w:rPr>
        <w:t>证券字2021-001-6-1</w:t>
      </w:r>
    </w:p>
    <w:p>
      <w:pPr>
        <w:widowControl w:val="0"/>
        <w:adjustRightInd w:val="0"/>
        <w:snapToGrid w:val="0"/>
        <w:ind w:firstLine="0" w:firstLineChars="0"/>
        <w:rPr>
          <w:rFonts w:ascii="Times New Roman" w:hAnsi="Times New Roman"/>
          <w:b/>
          <w:szCs w:val="28"/>
        </w:rPr>
      </w:pPr>
    </w:p>
    <w:p>
      <w:pPr>
        <w:widowControl w:val="0"/>
        <w:adjustRightInd w:val="0"/>
        <w:snapToGrid w:val="0"/>
        <w:ind w:firstLine="0" w:firstLineChars="0"/>
        <w:rPr>
          <w:rFonts w:ascii="Times New Roman" w:hAnsi="Times New Roman"/>
          <w:b/>
          <w:sz w:val="28"/>
          <w:szCs w:val="28"/>
          <w:lang w:val="zh-CN"/>
        </w:rPr>
      </w:pPr>
      <w:r>
        <w:rPr>
          <w:rFonts w:hint="eastAsia" w:ascii="Times New Roman" w:hAnsi="Times New Roman"/>
          <w:b/>
          <w:szCs w:val="28"/>
          <w:lang w:val="zh-CN"/>
        </w:rPr>
        <w:t>致：华孚时尚股份有限公司</w:t>
      </w:r>
    </w:p>
    <w:p>
      <w:pPr>
        <w:widowControl w:val="0"/>
        <w:adjustRightInd w:val="0"/>
        <w:snapToGrid w:val="0"/>
        <w:rPr>
          <w:rFonts w:ascii="Times New Roman" w:hAnsi="Times New Roman"/>
          <w:szCs w:val="28"/>
          <w:lang w:val="zh-CN"/>
        </w:rPr>
      </w:pPr>
      <w:r>
        <w:rPr>
          <w:rFonts w:hint="eastAsia" w:ascii="Times New Roman" w:hAnsi="Times New Roman"/>
          <w:szCs w:val="28"/>
          <w:lang w:val="zh-CN"/>
        </w:rPr>
        <w:t>北京市君泽君（上海）律师事务所（以下称“本所”）接受华孚时尚股份有限公司（以下简称“公司”</w:t>
      </w:r>
      <w:r>
        <w:rPr>
          <w:rFonts w:hint="eastAsia" w:ascii="Times New Roman" w:hAnsi="Times New Roman"/>
          <w:szCs w:val="28"/>
          <w:lang w:val="en-US" w:eastAsia="zh-Hans"/>
        </w:rPr>
        <w:t>或“华孚时尚”</w:t>
      </w:r>
      <w:r>
        <w:rPr>
          <w:rFonts w:hint="eastAsia" w:ascii="Times New Roman" w:hAnsi="Times New Roman"/>
          <w:szCs w:val="28"/>
          <w:lang w:val="zh-CN"/>
        </w:rPr>
        <w:t>）的委托，担任华孚时尚2</w:t>
      </w:r>
      <w:r>
        <w:rPr>
          <w:rFonts w:ascii="Times New Roman" w:hAnsi="Times New Roman"/>
          <w:szCs w:val="28"/>
          <w:lang w:val="zh-CN"/>
        </w:rPr>
        <w:t>021</w:t>
      </w:r>
      <w:r>
        <w:rPr>
          <w:rFonts w:hint="eastAsia" w:ascii="Times New Roman" w:hAnsi="Times New Roman"/>
          <w:szCs w:val="28"/>
          <w:lang w:val="zh-CN"/>
        </w:rPr>
        <w:t>年股票期权激励计划（以下称“本次股权激励计划”）的专项法律顾问。本所根据《中华人民共和国公司法》（以下称“《公司法》”）、《中华人民共和国证券法》（以下称“《证券法》”）、中国证券监督管理委员会（以下称“中国证监会”）发布的《上市公司股权激励管理办法》（以下称“《管理办法》”）、深圳证券交易所（以下称“深交所”）发布的《深圳证券交易所上市公司业务办理指南第9号——股权激励》等法律、行政法规、部门规章及其他规范性文件和《华孚时尚股份有限公司章程》（以下称“《公司章程》”）的相关规定，就华孚时尚</w:t>
      </w:r>
      <w:r>
        <w:rPr>
          <w:rFonts w:hint="eastAsia" w:ascii="Times New Roman" w:hAnsi="Times New Roman"/>
          <w:szCs w:val="28"/>
          <w:lang w:val="en-US" w:eastAsia="zh-Hans"/>
        </w:rPr>
        <w:t>终止实施</w:t>
      </w:r>
      <w:r>
        <w:rPr>
          <w:rFonts w:hint="eastAsia" w:ascii="Times New Roman" w:hAnsi="Times New Roman"/>
          <w:szCs w:val="28"/>
          <w:lang w:val="zh-CN"/>
        </w:rPr>
        <w:t>本次股权激励计划</w:t>
      </w:r>
      <w:r>
        <w:rPr>
          <w:rFonts w:hint="eastAsia" w:ascii="Times New Roman" w:hAnsi="Times New Roman"/>
          <w:szCs w:val="28"/>
          <w:lang w:val="en-US" w:eastAsia="zh-Hans"/>
        </w:rPr>
        <w:t>并注销股票期权</w:t>
      </w:r>
      <w:r>
        <w:rPr>
          <w:rFonts w:hint="eastAsia" w:ascii="Times New Roman" w:hAnsi="Times New Roman"/>
          <w:szCs w:val="28"/>
          <w:lang w:val="zh-CN"/>
        </w:rPr>
        <w:t>（以下称“本次</w:t>
      </w:r>
      <w:r>
        <w:rPr>
          <w:rFonts w:hint="eastAsia" w:ascii="Times New Roman" w:hAnsi="Times New Roman"/>
          <w:szCs w:val="28"/>
          <w:lang w:val="en-US" w:eastAsia="zh-Hans"/>
        </w:rPr>
        <w:t>终止</w:t>
      </w:r>
      <w:r>
        <w:rPr>
          <w:rFonts w:hint="eastAsia" w:ascii="Times New Roman" w:hAnsi="Times New Roman"/>
          <w:szCs w:val="28"/>
          <w:lang w:val="zh-CN"/>
        </w:rPr>
        <w:t>”）</w:t>
      </w:r>
      <w:r>
        <w:rPr>
          <w:rFonts w:hint="eastAsia" w:ascii="Times New Roman" w:hAnsi="Times New Roman"/>
          <w:szCs w:val="28"/>
          <w:lang w:val="en-US" w:eastAsia="zh-Hans"/>
        </w:rPr>
        <w:t>相关事项</w:t>
      </w:r>
      <w:r>
        <w:rPr>
          <w:rFonts w:hint="eastAsia" w:ascii="Times New Roman" w:hAnsi="Times New Roman"/>
          <w:szCs w:val="28"/>
          <w:lang w:val="zh-CN"/>
        </w:rPr>
        <w:t>出具本法律意见书。</w:t>
      </w:r>
    </w:p>
    <w:p>
      <w:pPr>
        <w:widowControl w:val="0"/>
        <w:adjustRightInd w:val="0"/>
        <w:snapToGrid w:val="0"/>
        <w:rPr>
          <w:rFonts w:ascii="Times New Roman" w:hAnsi="Times New Roman"/>
          <w:szCs w:val="28"/>
          <w:lang w:val="zh-CN"/>
        </w:rPr>
      </w:pPr>
      <w:r>
        <w:rPr>
          <w:rFonts w:hint="eastAsia" w:ascii="Times New Roman" w:hAnsi="Times New Roman"/>
          <w:szCs w:val="28"/>
          <w:lang w:val="zh-CN"/>
        </w:rPr>
        <w:t>本所律师根据中国现行法律、法规和规范性文件的有关规定，对与出具本法律意见书有关的所有文件资料进行了核查、验证。本所律师对本法律意见书的出具特作如下声明：</w:t>
      </w:r>
    </w:p>
    <w:p>
      <w:pPr>
        <w:widowControl w:val="0"/>
        <w:adjustRightInd w:val="0"/>
        <w:snapToGrid w:val="0"/>
        <w:rPr>
          <w:rFonts w:ascii="Times New Roman" w:hAnsi="Times New Roman"/>
          <w:szCs w:val="28"/>
          <w:lang w:val="zh-CN"/>
        </w:rPr>
      </w:pPr>
      <w:r>
        <w:rPr>
          <w:rFonts w:hint="eastAsia" w:ascii="Times New Roman" w:hAnsi="Times New Roman"/>
          <w:szCs w:val="28"/>
          <w:lang w:val="zh-CN"/>
        </w:rPr>
        <w:t>1、本所律师仅根据本法律意见书出具日前已经发生或存在的事实、中国现行有效的法律、行政法规和规范性文件的规定及本所律师对该等事实和规定的了解和理解发表法律意见。</w:t>
      </w:r>
    </w:p>
    <w:p>
      <w:pPr>
        <w:widowControl w:val="0"/>
        <w:adjustRightInd w:val="0"/>
        <w:snapToGrid w:val="0"/>
        <w:rPr>
          <w:rFonts w:ascii="Times New Roman" w:hAnsi="Times New Roman"/>
          <w:szCs w:val="28"/>
          <w:lang w:val="zh-CN"/>
        </w:rPr>
      </w:pPr>
      <w:r>
        <w:rPr>
          <w:rFonts w:hint="eastAsia" w:ascii="Times New Roman" w:hAnsi="Times New Roman"/>
          <w:szCs w:val="28"/>
          <w:lang w:val="zh-CN"/>
        </w:rPr>
        <w:t>2、公司向本所保证，公司已向本所律师提供了出具本法律意见书所必需的全部有关事实和文件材料，且一切足以影响本法律意见书的事实和文件资料均已向本所披露；其所提供的全部文件资料以及所作的陈述和说明是完整、真实、</w:t>
      </w:r>
      <w:r>
        <w:rPr>
          <w:rFonts w:hint="eastAsia" w:ascii="Times New Roman" w:hAnsi="Times New Roman"/>
          <w:szCs w:val="28"/>
          <w:lang w:val="en-US" w:eastAsia="zh-Hans"/>
        </w:rPr>
        <w:t>准</w:t>
      </w:r>
      <w:r>
        <w:rPr>
          <w:rFonts w:hint="eastAsia" w:ascii="Times New Roman" w:hAnsi="Times New Roman"/>
          <w:szCs w:val="28"/>
          <w:lang w:val="zh-CN"/>
        </w:rPr>
        <w:t>确和有效的，不存在任何隐瞒、虚假和遗漏之处及误导性陈述，其所提供的复印件与原件一致；对于本法律意见书至关重要而又无法得到独立的证据支持的事实，本所律师依赖于有关政府部门、公司及其他有关单位或有关人士出具或提供的证明文件、证言或文件的复印件。</w:t>
      </w:r>
    </w:p>
    <w:p>
      <w:pPr>
        <w:widowControl w:val="0"/>
        <w:adjustRightInd w:val="0"/>
        <w:snapToGrid w:val="0"/>
        <w:rPr>
          <w:rFonts w:ascii="Times New Roman" w:hAnsi="Times New Roman"/>
          <w:szCs w:val="28"/>
          <w:lang w:val="zh-CN"/>
        </w:rPr>
      </w:pPr>
      <w:r>
        <w:rPr>
          <w:rFonts w:hint="eastAsia" w:ascii="Times New Roman" w:hAnsi="Times New Roman"/>
          <w:szCs w:val="28"/>
          <w:lang w:val="zh-CN"/>
        </w:rPr>
        <w:t>3、本所律师仅就与公司本次激励计划有关的法律问题发表意见，而不对公司本次激励计划所涉及的标的股权价值、考核标准等方面的合理性以及会计、财务等非法律专业事项发表意见。</w:t>
      </w:r>
    </w:p>
    <w:p>
      <w:pPr>
        <w:widowControl w:val="0"/>
        <w:adjustRightInd w:val="0"/>
        <w:snapToGrid w:val="0"/>
        <w:rPr>
          <w:rFonts w:ascii="Times New Roman" w:hAnsi="Times New Roman"/>
          <w:szCs w:val="28"/>
          <w:lang w:val="zh-CN"/>
        </w:rPr>
      </w:pPr>
      <w:r>
        <w:rPr>
          <w:rFonts w:ascii="Times New Roman" w:hAnsi="Times New Roman"/>
          <w:szCs w:val="28"/>
          <w:lang w:val="zh-CN"/>
        </w:rPr>
        <w:t>4</w:t>
      </w:r>
      <w:r>
        <w:rPr>
          <w:rFonts w:hint="eastAsia" w:ascii="Times New Roman" w:hAnsi="Times New Roman"/>
          <w:szCs w:val="28"/>
          <w:lang w:val="zh-CN"/>
        </w:rPr>
        <w:t>、本法律意见书仅供公司为</w:t>
      </w:r>
      <w:r>
        <w:rPr>
          <w:rFonts w:hint="eastAsia" w:ascii="Times New Roman" w:hAnsi="Times New Roman"/>
          <w:szCs w:val="28"/>
          <w:lang w:val="en-US" w:eastAsia="zh-Hans"/>
        </w:rPr>
        <w:t>实施</w:t>
      </w:r>
      <w:r>
        <w:rPr>
          <w:rFonts w:hint="eastAsia" w:ascii="Times New Roman" w:hAnsi="Times New Roman"/>
          <w:szCs w:val="28"/>
          <w:lang w:val="zh-CN"/>
        </w:rPr>
        <w:t>本次股权激励计划之目的使用，不得用作任何其他用途。本所律师同意将本法律意见书作为公开披露的法律文件，随其他材料一起予以公告，并依法对本法律意见书承担相应的法律责任。</w:t>
      </w:r>
    </w:p>
    <w:p>
      <w:pPr>
        <w:widowControl w:val="0"/>
        <w:adjustRightInd w:val="0"/>
        <w:snapToGrid w:val="0"/>
        <w:rPr>
          <w:rFonts w:ascii="Times New Roman" w:hAnsi="Times New Roman"/>
          <w:szCs w:val="28"/>
          <w:lang w:val="zh-CN"/>
        </w:rPr>
      </w:pPr>
      <w:r>
        <w:rPr>
          <w:rFonts w:hint="eastAsia" w:ascii="Times New Roman" w:hAnsi="Times New Roman"/>
          <w:szCs w:val="28"/>
          <w:lang w:val="zh-CN"/>
        </w:rPr>
        <w:t>基于上述声明，本所律师根据相关法律法规的要求，按照律师行业公认的业务标准、道德规范和勤勉尽责精神，对公司本次</w:t>
      </w:r>
      <w:r>
        <w:rPr>
          <w:rFonts w:hint="eastAsia" w:ascii="Times New Roman" w:hAnsi="Times New Roman"/>
          <w:szCs w:val="28"/>
          <w:lang w:val="en-US" w:eastAsia="zh-Hans"/>
        </w:rPr>
        <w:t>终止</w:t>
      </w:r>
      <w:r>
        <w:rPr>
          <w:rFonts w:hint="eastAsia" w:ascii="Times New Roman" w:hAnsi="Times New Roman"/>
          <w:szCs w:val="28"/>
          <w:lang w:val="zh-CN"/>
        </w:rPr>
        <w:t>提供的相关文件和有关事实进行了核查，现出具法律意见如下：</w:t>
      </w:r>
    </w:p>
    <w:p>
      <w:pPr>
        <w:pStyle w:val="2"/>
        <w:keepNext/>
        <w:keepLines/>
        <w:pageBreakBefore w:val="0"/>
        <w:widowControl/>
        <w:kinsoku/>
        <w:wordWrap/>
        <w:overflowPunct/>
        <w:topLinePunct w:val="0"/>
        <w:autoSpaceDE/>
        <w:autoSpaceDN/>
        <w:bidi w:val="0"/>
        <w:adjustRightInd w:val="0"/>
        <w:snapToGrid w:val="0"/>
        <w:spacing w:before="164" w:beforeLines="50" w:after="164" w:afterLines="50" w:line="360" w:lineRule="auto"/>
        <w:ind w:firstLine="562"/>
        <w:jc w:val="both"/>
        <w:textAlignment w:val="auto"/>
        <w:rPr>
          <w:rFonts w:ascii="Times New Roman" w:hAnsi="Times New Roman"/>
          <w:sz w:val="28"/>
          <w:szCs w:val="28"/>
        </w:rPr>
      </w:pPr>
      <w:r>
        <w:rPr>
          <w:rFonts w:hint="eastAsia" w:ascii="Times New Roman" w:hAnsi="Times New Roman"/>
          <w:sz w:val="28"/>
          <w:szCs w:val="28"/>
        </w:rPr>
        <w:t>一、本次</w:t>
      </w:r>
      <w:r>
        <w:rPr>
          <w:rFonts w:hint="eastAsia" w:ascii="Times New Roman" w:hAnsi="Times New Roman"/>
          <w:sz w:val="28"/>
          <w:szCs w:val="28"/>
          <w:lang w:val="en-US" w:eastAsia="zh-Hans"/>
        </w:rPr>
        <w:t>股权激励计划已履行的程序</w:t>
      </w:r>
    </w:p>
    <w:p>
      <w:pPr>
        <w:widowControl w:val="0"/>
        <w:adjustRightInd w:val="0"/>
        <w:snapToGrid w:val="0"/>
        <w:rPr>
          <w:rFonts w:hint="default" w:ascii="Times New Roman" w:hAnsi="Times New Roman" w:eastAsia="楷体"/>
          <w:kern w:val="44"/>
          <w:szCs w:val="32"/>
          <w:lang w:eastAsia="zh-Hans"/>
        </w:rPr>
      </w:pPr>
      <w:r>
        <w:rPr>
          <w:rFonts w:hint="eastAsia" w:ascii="Times New Roman" w:hAnsi="Times New Roman"/>
          <w:kern w:val="44"/>
          <w:szCs w:val="32"/>
          <w:lang w:val="en-US" w:eastAsia="zh-Hans"/>
        </w:rPr>
        <w:t>根据公司有关本次股权激励计划的董事会</w:t>
      </w:r>
      <w:r>
        <w:rPr>
          <w:rFonts w:hint="default" w:ascii="Times New Roman" w:hAnsi="Times New Roman"/>
          <w:kern w:val="44"/>
          <w:szCs w:val="32"/>
          <w:lang w:eastAsia="zh-Hans"/>
        </w:rPr>
        <w:t>、</w:t>
      </w:r>
      <w:r>
        <w:rPr>
          <w:rFonts w:hint="eastAsia" w:ascii="Times New Roman" w:hAnsi="Times New Roman"/>
          <w:kern w:val="44"/>
          <w:szCs w:val="32"/>
          <w:lang w:val="en-US" w:eastAsia="zh-Hans"/>
        </w:rPr>
        <w:t>监事会和股东大会决议公告</w:t>
      </w:r>
      <w:r>
        <w:rPr>
          <w:rFonts w:hint="default" w:ascii="Times New Roman" w:hAnsi="Times New Roman"/>
          <w:kern w:val="44"/>
          <w:szCs w:val="32"/>
          <w:lang w:eastAsia="zh-Hans"/>
        </w:rPr>
        <w:t>、</w:t>
      </w:r>
      <w:r>
        <w:rPr>
          <w:rFonts w:hint="eastAsia" w:ascii="Times New Roman" w:hAnsi="Times New Roman"/>
          <w:kern w:val="44"/>
          <w:szCs w:val="32"/>
          <w:lang w:val="en-US" w:eastAsia="zh-Hans"/>
        </w:rPr>
        <w:t>独立董事及相关公告文件</w:t>
      </w:r>
      <w:r>
        <w:rPr>
          <w:rFonts w:hint="default" w:ascii="Times New Roman" w:hAnsi="Times New Roman"/>
          <w:kern w:val="44"/>
          <w:szCs w:val="32"/>
          <w:lang w:eastAsia="zh-Hans"/>
        </w:rPr>
        <w:t>，</w:t>
      </w:r>
      <w:r>
        <w:rPr>
          <w:rFonts w:hint="eastAsia" w:ascii="Times New Roman" w:hAnsi="Times New Roman"/>
          <w:kern w:val="44"/>
          <w:szCs w:val="32"/>
          <w:lang w:val="en-US" w:eastAsia="zh-Hans"/>
        </w:rPr>
        <w:t>本次股权激励计划已履行的程序如下</w:t>
      </w:r>
      <w:r>
        <w:rPr>
          <w:rFonts w:hint="default" w:ascii="Times New Roman" w:hAnsi="Times New Roman"/>
          <w:kern w:val="44"/>
          <w:szCs w:val="32"/>
          <w:lang w:eastAsia="zh-Hans"/>
        </w:rPr>
        <w:t>：</w:t>
      </w:r>
    </w:p>
    <w:p>
      <w:pPr>
        <w:widowControl w:val="0"/>
        <w:adjustRightInd w:val="0"/>
        <w:snapToGrid w:val="0"/>
        <w:rPr>
          <w:rFonts w:ascii="Times New Roman" w:hAnsi="Times New Roman"/>
        </w:rPr>
      </w:pPr>
      <w:r>
        <w:rPr>
          <w:rFonts w:ascii="Times New Roman" w:hAnsi="Times New Roman"/>
          <w:kern w:val="44"/>
          <w:szCs w:val="32"/>
        </w:rPr>
        <w:t>1</w:t>
      </w:r>
      <w:r>
        <w:rPr>
          <w:rFonts w:hint="eastAsia" w:ascii="Times New Roman" w:hAnsi="Times New Roman"/>
          <w:kern w:val="44"/>
          <w:szCs w:val="32"/>
        </w:rPr>
        <w:t>、2021年1月12日，公司召开第七届董事会2021年第一次临时会议</w:t>
      </w:r>
      <w:r>
        <w:rPr>
          <w:rFonts w:hint="eastAsia" w:ascii="Times New Roman" w:hAnsi="Times New Roman"/>
          <w:kern w:val="44"/>
          <w:szCs w:val="32"/>
          <w:lang w:val="en-US" w:eastAsia="zh-Hans"/>
        </w:rPr>
        <w:t>和</w:t>
      </w:r>
      <w:r>
        <w:rPr>
          <w:rFonts w:hint="eastAsia" w:ascii="Times New Roman" w:hAnsi="Times New Roman"/>
        </w:rPr>
        <w:t>第七届监事会第十六次会议</w:t>
      </w:r>
      <w:r>
        <w:rPr>
          <w:rFonts w:hint="eastAsia" w:ascii="Times New Roman" w:hAnsi="Times New Roman"/>
          <w:kern w:val="44"/>
          <w:szCs w:val="32"/>
        </w:rPr>
        <w:t>，</w:t>
      </w:r>
      <w:r>
        <w:rPr>
          <w:rFonts w:hint="eastAsia" w:ascii="Times New Roman" w:hAnsi="Times New Roman"/>
          <w:kern w:val="44"/>
          <w:szCs w:val="32"/>
          <w:lang w:val="en-US" w:eastAsia="zh-Hans"/>
        </w:rPr>
        <w:t>分别</w:t>
      </w:r>
      <w:r>
        <w:rPr>
          <w:rFonts w:hint="eastAsia" w:ascii="Times New Roman" w:hAnsi="Times New Roman"/>
          <w:kern w:val="44"/>
          <w:szCs w:val="32"/>
        </w:rPr>
        <w:t>审议通过了《关于公司2021年股权激励计划（草案）及其摘要的议案》、《关于公司2021年股权激励计划实施考核管理办法的议案》</w:t>
      </w:r>
      <w:r>
        <w:rPr>
          <w:rFonts w:hint="eastAsia" w:ascii="Times New Roman" w:hAnsi="Times New Roman"/>
          <w:kern w:val="44"/>
          <w:szCs w:val="32"/>
          <w:lang w:val="en-US" w:eastAsia="zh-Hans"/>
        </w:rPr>
        <w:t>和</w:t>
      </w:r>
      <w:r>
        <w:rPr>
          <w:rFonts w:hint="eastAsia" w:ascii="Times New Roman" w:hAnsi="Times New Roman"/>
        </w:rPr>
        <w:t>《关于提请股东大会授权董事会办理公司2021年股权激励计划相关事宜的议案》</w:t>
      </w:r>
      <w:r>
        <w:rPr>
          <w:rFonts w:hint="eastAsia" w:ascii="Times New Roman" w:hAnsi="Times New Roman"/>
          <w:kern w:val="44"/>
          <w:szCs w:val="32"/>
        </w:rPr>
        <w:t>等与本次</w:t>
      </w:r>
      <w:r>
        <w:rPr>
          <w:rFonts w:hint="eastAsia" w:ascii="Times New Roman" w:hAnsi="Times New Roman"/>
          <w:kern w:val="44"/>
          <w:szCs w:val="32"/>
          <w:lang w:val="en-US" w:eastAsia="zh-Hans"/>
        </w:rPr>
        <w:t>股权</w:t>
      </w:r>
      <w:r>
        <w:rPr>
          <w:rFonts w:hint="eastAsia" w:ascii="Times New Roman" w:hAnsi="Times New Roman"/>
          <w:kern w:val="44"/>
          <w:szCs w:val="32"/>
        </w:rPr>
        <w:t>激励计划相关的议案</w:t>
      </w:r>
      <w:r>
        <w:rPr>
          <w:rFonts w:hint="default" w:ascii="Times New Roman" w:hAnsi="Times New Roman"/>
          <w:kern w:val="44"/>
          <w:szCs w:val="32"/>
        </w:rPr>
        <w:t>。</w:t>
      </w:r>
      <w:r>
        <w:rPr>
          <w:rFonts w:hint="eastAsia" w:ascii="Times New Roman" w:hAnsi="Times New Roman"/>
          <w:kern w:val="44"/>
          <w:szCs w:val="32"/>
          <w:lang w:val="en-US" w:eastAsia="zh-Hans"/>
        </w:rPr>
        <w:t>同日</w:t>
      </w:r>
      <w:r>
        <w:rPr>
          <w:rFonts w:hint="default" w:ascii="Times New Roman" w:hAnsi="Times New Roman"/>
          <w:kern w:val="44"/>
          <w:szCs w:val="32"/>
          <w:lang w:eastAsia="zh-Hans"/>
        </w:rPr>
        <w:t>，</w:t>
      </w:r>
      <w:r>
        <w:rPr>
          <w:rFonts w:hint="eastAsia" w:ascii="Times New Roman" w:hAnsi="Times New Roman"/>
          <w:kern w:val="44"/>
          <w:szCs w:val="32"/>
          <w:lang w:val="en-US" w:eastAsia="zh-Hans"/>
        </w:rPr>
        <w:t>公司</w:t>
      </w:r>
      <w:r>
        <w:rPr>
          <w:rFonts w:hint="eastAsia" w:ascii="Times New Roman" w:hAnsi="Times New Roman"/>
          <w:kern w:val="44"/>
          <w:szCs w:val="32"/>
        </w:rPr>
        <w:t>独立董事对本次</w:t>
      </w:r>
      <w:r>
        <w:rPr>
          <w:rFonts w:hint="eastAsia" w:ascii="Times New Roman" w:hAnsi="Times New Roman"/>
          <w:kern w:val="44"/>
          <w:szCs w:val="32"/>
          <w:lang w:val="en-US" w:eastAsia="zh-Hans"/>
        </w:rPr>
        <w:t>股权</w:t>
      </w:r>
      <w:r>
        <w:rPr>
          <w:rFonts w:hint="eastAsia" w:ascii="Times New Roman" w:hAnsi="Times New Roman"/>
          <w:kern w:val="44"/>
          <w:szCs w:val="32"/>
        </w:rPr>
        <w:t>激励计划发表独立意见。</w:t>
      </w:r>
    </w:p>
    <w:p>
      <w:pPr>
        <w:shd w:val="clear" w:color="auto" w:fill="FFFFFF"/>
        <w:adjustRightInd w:val="0"/>
        <w:snapToGrid w:val="0"/>
        <w:rPr>
          <w:rFonts w:ascii="Times New Roman" w:hAnsi="Times New Roman"/>
        </w:rPr>
      </w:pPr>
      <w:r>
        <w:rPr>
          <w:rFonts w:hint="default" w:ascii="Times New Roman" w:hAnsi="Times New Roman"/>
        </w:rPr>
        <w:t>2</w:t>
      </w:r>
      <w:r>
        <w:rPr>
          <w:rFonts w:hint="eastAsia" w:ascii="Times New Roman" w:hAnsi="Times New Roman"/>
        </w:rPr>
        <w:t>、2021年1月29日，公司召开2021年第一次临时股东大会，审议通过了《关于公司2021年股权激励计划（草案）及其摘要的议案》、《关于公司2021年股权激励计划实施考核管理办法的议案》、《关于提请股东大会授权董事会办理公司2021年股权激励计划相关事宜的议案》等议案。</w:t>
      </w:r>
    </w:p>
    <w:p>
      <w:pPr>
        <w:shd w:val="clear" w:color="auto" w:fill="FFFFFF"/>
        <w:adjustRightInd w:val="0"/>
        <w:snapToGrid w:val="0"/>
        <w:rPr>
          <w:rFonts w:ascii="Times New Roman" w:hAnsi="Times New Roman" w:cs="宋体"/>
          <w:lang w:bidi="ar"/>
        </w:rPr>
      </w:pPr>
      <w:r>
        <w:rPr>
          <w:rFonts w:hint="default" w:ascii="Times New Roman" w:hAnsi="Times New Roman"/>
        </w:rPr>
        <w:t>3</w:t>
      </w:r>
      <w:r>
        <w:rPr>
          <w:rFonts w:hint="eastAsia" w:ascii="Times New Roman" w:hAnsi="Times New Roman"/>
        </w:rPr>
        <w:t>、2</w:t>
      </w:r>
      <w:r>
        <w:rPr>
          <w:rFonts w:ascii="Times New Roman" w:hAnsi="Times New Roman"/>
        </w:rPr>
        <w:t>021</w:t>
      </w:r>
      <w:r>
        <w:rPr>
          <w:rFonts w:hint="eastAsia" w:ascii="Times New Roman" w:hAnsi="Times New Roman"/>
        </w:rPr>
        <w:t>年</w:t>
      </w:r>
      <w:r>
        <w:rPr>
          <w:rFonts w:hint="eastAsia" w:ascii="Times New Roman" w:hAnsi="Times New Roman"/>
          <w:color w:val="000000" w:themeColor="text1"/>
          <w14:textFill>
            <w14:solidFill>
              <w14:schemeClr w14:val="tx1"/>
            </w14:solidFill>
          </w14:textFill>
        </w:rPr>
        <w:t>2月</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日</w:t>
      </w:r>
      <w:r>
        <w:rPr>
          <w:rFonts w:hint="eastAsia" w:ascii="Times New Roman" w:hAnsi="Times New Roman"/>
        </w:rPr>
        <w:t>，公司召开了第七届董事会2</w:t>
      </w:r>
      <w:r>
        <w:rPr>
          <w:rFonts w:ascii="Times New Roman" w:hAnsi="Times New Roman"/>
        </w:rPr>
        <w:t>021</w:t>
      </w:r>
      <w:r>
        <w:rPr>
          <w:rFonts w:hint="eastAsia" w:ascii="Times New Roman" w:hAnsi="Times New Roman"/>
        </w:rPr>
        <w:t>年第二次临时会议</w:t>
      </w:r>
      <w:r>
        <w:rPr>
          <w:rFonts w:hint="eastAsia" w:ascii="Times New Roman" w:hAnsi="Times New Roman"/>
          <w:lang w:val="en-US" w:eastAsia="zh-Hans"/>
        </w:rPr>
        <w:t>和</w:t>
      </w:r>
      <w:r>
        <w:rPr>
          <w:rFonts w:hint="eastAsia" w:ascii="Times New Roman" w:hAnsi="Times New Roman"/>
        </w:rPr>
        <w:t>第七届监事会第十七次会议，</w:t>
      </w:r>
      <w:r>
        <w:rPr>
          <w:rFonts w:hint="eastAsia" w:ascii="Times New Roman" w:hAnsi="Times New Roman"/>
          <w:lang w:val="en-US" w:eastAsia="zh-Hans"/>
        </w:rPr>
        <w:t>分别</w:t>
      </w:r>
      <w:r>
        <w:rPr>
          <w:rFonts w:hint="eastAsia" w:ascii="Times New Roman" w:hAnsi="Times New Roman"/>
        </w:rPr>
        <w:t>审议通过了《关于向激励对象授予股票期权的议案》</w:t>
      </w:r>
      <w:r>
        <w:rPr>
          <w:rFonts w:hint="default" w:ascii="Times New Roman" w:hAnsi="Times New Roman"/>
        </w:rPr>
        <w:t>。</w:t>
      </w:r>
      <w:r>
        <w:rPr>
          <w:rFonts w:hint="eastAsia" w:ascii="Times New Roman" w:hAnsi="Times New Roman" w:cs="宋体"/>
          <w:lang w:val="en-US" w:eastAsia="zh-Hans" w:bidi="ar"/>
        </w:rPr>
        <w:t>同日</w:t>
      </w:r>
      <w:r>
        <w:rPr>
          <w:rFonts w:hint="default" w:ascii="Times New Roman" w:hAnsi="Times New Roman" w:cs="宋体"/>
          <w:lang w:eastAsia="zh-Hans" w:bidi="ar"/>
        </w:rPr>
        <w:t>，</w:t>
      </w:r>
      <w:r>
        <w:rPr>
          <w:rFonts w:hint="eastAsia" w:ascii="Times New Roman" w:hAnsi="Times New Roman" w:cs="宋体"/>
          <w:lang w:bidi="ar"/>
        </w:rPr>
        <w:t>公司独立董事对本次授予发表独立意见。</w:t>
      </w:r>
    </w:p>
    <w:p>
      <w:pPr>
        <w:widowControl w:val="0"/>
        <w:adjustRightInd w:val="0"/>
        <w:snapToGrid w:val="0"/>
        <w:rPr>
          <w:rFonts w:ascii="Times New Roman" w:hAnsi="Times New Roman" w:cs="宋体"/>
          <w:lang w:bidi="ar"/>
        </w:rPr>
      </w:pPr>
      <w:r>
        <w:rPr>
          <w:rFonts w:hint="default" w:ascii="Times New Roman" w:hAnsi="Times New Roman" w:cs="宋体"/>
          <w:lang w:bidi="ar"/>
        </w:rPr>
        <w:t>4</w:t>
      </w:r>
      <w:r>
        <w:rPr>
          <w:rFonts w:hint="eastAsia" w:ascii="Times New Roman" w:hAnsi="Times New Roman" w:cs="宋体"/>
          <w:lang w:bidi="ar"/>
        </w:rPr>
        <w:t>、2021年11月30日，公司召开了第七届董事会2021年第四次临时会议</w:t>
      </w:r>
      <w:r>
        <w:rPr>
          <w:rFonts w:hint="eastAsia" w:ascii="Times New Roman" w:hAnsi="Times New Roman" w:cs="宋体"/>
          <w:lang w:val="en-US" w:eastAsia="zh-Hans" w:bidi="ar"/>
        </w:rPr>
        <w:t>和第七届监事会第二十二次会议</w:t>
      </w:r>
      <w:r>
        <w:rPr>
          <w:rFonts w:hint="eastAsia" w:ascii="Times New Roman" w:hAnsi="Times New Roman" w:cs="宋体"/>
          <w:lang w:bidi="ar"/>
        </w:rPr>
        <w:t>，审议通过了《关于调整2021年股票期权行权价格的议案》。</w:t>
      </w:r>
    </w:p>
    <w:p>
      <w:pPr>
        <w:shd w:val="clear" w:color="auto" w:fill="FFFFFF"/>
        <w:adjustRightInd w:val="0"/>
        <w:snapToGrid w:val="0"/>
        <w:rPr>
          <w:rFonts w:ascii="Times New Roman" w:hAnsi="Times New Roman" w:cs="宋体"/>
          <w:lang w:bidi="ar"/>
        </w:rPr>
      </w:pPr>
      <w:r>
        <w:rPr>
          <w:rFonts w:hint="default" w:ascii="Times New Roman" w:hAnsi="Times New Roman"/>
        </w:rPr>
        <w:t>5</w:t>
      </w:r>
      <w:r>
        <w:rPr>
          <w:rFonts w:hint="eastAsia" w:ascii="Times New Roman" w:hAnsi="Times New Roman"/>
        </w:rPr>
        <w:t>、2</w:t>
      </w:r>
      <w:r>
        <w:rPr>
          <w:rFonts w:ascii="Times New Roman" w:hAnsi="Times New Roman"/>
        </w:rPr>
        <w:t>021</w:t>
      </w:r>
      <w:r>
        <w:rPr>
          <w:rFonts w:hint="eastAsia" w:ascii="Times New Roman" w:hAnsi="Times New Roman"/>
        </w:rPr>
        <w:t>年1</w:t>
      </w:r>
      <w:r>
        <w:rPr>
          <w:rFonts w:hint="eastAsia" w:ascii="Times New Roman" w:hAnsi="Times New Roman"/>
          <w:color w:val="000000" w:themeColor="text1"/>
          <w14:textFill>
            <w14:solidFill>
              <w14:schemeClr w14:val="tx1"/>
            </w14:solidFill>
          </w14:textFill>
        </w:rPr>
        <w:t>2月</w:t>
      </w:r>
      <w:r>
        <w:rPr>
          <w:rFonts w:ascii="Times New Roman" w:hAnsi="Times New Roman"/>
          <w:color w:val="000000" w:themeColor="text1"/>
          <w14:textFill>
            <w14:solidFill>
              <w14:schemeClr w14:val="tx1"/>
            </w14:solidFill>
          </w14:textFill>
        </w:rPr>
        <w:t>24</w:t>
      </w:r>
      <w:r>
        <w:rPr>
          <w:rFonts w:hint="eastAsia" w:ascii="Times New Roman" w:hAnsi="Times New Roman"/>
          <w:color w:val="000000" w:themeColor="text1"/>
          <w14:textFill>
            <w14:solidFill>
              <w14:schemeClr w14:val="tx1"/>
            </w14:solidFill>
          </w14:textFill>
        </w:rPr>
        <w:t>日</w:t>
      </w:r>
      <w:r>
        <w:rPr>
          <w:rFonts w:hint="eastAsia" w:ascii="Times New Roman" w:hAnsi="Times New Roman"/>
        </w:rPr>
        <w:t>，公司召开了第八届董事会2</w:t>
      </w:r>
      <w:r>
        <w:rPr>
          <w:rFonts w:ascii="Times New Roman" w:hAnsi="Times New Roman"/>
        </w:rPr>
        <w:t>021</w:t>
      </w:r>
      <w:r>
        <w:rPr>
          <w:rFonts w:hint="eastAsia" w:ascii="Times New Roman" w:hAnsi="Times New Roman"/>
        </w:rPr>
        <w:t>年第一次临时会议</w:t>
      </w:r>
      <w:r>
        <w:rPr>
          <w:rFonts w:hint="eastAsia" w:ascii="Times New Roman" w:hAnsi="Times New Roman"/>
          <w:lang w:val="en-US" w:eastAsia="zh-Hans"/>
        </w:rPr>
        <w:t>和</w:t>
      </w:r>
      <w:r>
        <w:rPr>
          <w:rFonts w:hint="eastAsia" w:ascii="Times New Roman" w:hAnsi="Times New Roman"/>
        </w:rPr>
        <w:t>第八届监事会第一次会议，审议通过了《关于向2021年股权激励计划激励对象授予预留股票期权的议案》</w:t>
      </w:r>
      <w:r>
        <w:rPr>
          <w:rFonts w:hint="default" w:ascii="Times New Roman" w:hAnsi="Times New Roman"/>
        </w:rPr>
        <w:t>。</w:t>
      </w:r>
      <w:r>
        <w:rPr>
          <w:rFonts w:hint="eastAsia" w:ascii="Times New Roman" w:hAnsi="Times New Roman"/>
          <w:bCs/>
          <w:kern w:val="44"/>
          <w:szCs w:val="32"/>
          <w:lang w:val="en-US" w:eastAsia="zh-Hans"/>
        </w:rPr>
        <w:t>同日</w:t>
      </w:r>
      <w:r>
        <w:rPr>
          <w:rFonts w:hint="default" w:ascii="Times New Roman" w:hAnsi="Times New Roman"/>
          <w:bCs/>
          <w:kern w:val="44"/>
          <w:szCs w:val="32"/>
          <w:lang w:eastAsia="zh-Hans"/>
        </w:rPr>
        <w:t>，</w:t>
      </w:r>
      <w:r>
        <w:rPr>
          <w:rFonts w:hint="eastAsia" w:ascii="Times New Roman" w:hAnsi="Times New Roman" w:cs="宋体"/>
          <w:lang w:bidi="ar"/>
        </w:rPr>
        <w:t>公司独立董事对本次授予发表独立意见。</w:t>
      </w:r>
    </w:p>
    <w:p>
      <w:pPr>
        <w:shd w:val="clear" w:color="auto" w:fill="FFFFFF"/>
        <w:adjustRightInd w:val="0"/>
        <w:snapToGrid w:val="0"/>
        <w:rPr>
          <w:rFonts w:ascii="Times New Roman" w:hAnsi="Times New Roman" w:cs="宋体"/>
          <w:lang w:bidi="ar"/>
        </w:rPr>
      </w:pPr>
      <w:r>
        <w:rPr>
          <w:rFonts w:hint="default" w:ascii="Times New Roman" w:hAnsi="Times New Roman"/>
        </w:rPr>
        <w:t>6</w:t>
      </w:r>
      <w:r>
        <w:rPr>
          <w:rFonts w:hint="eastAsia" w:ascii="Times New Roman" w:hAnsi="Times New Roman"/>
        </w:rPr>
        <w:t>、</w:t>
      </w:r>
      <w:r>
        <w:rPr>
          <w:rFonts w:hint="eastAsia" w:ascii="Times New Roman" w:hAnsi="Times New Roman" w:cs="宋体"/>
          <w:lang w:bidi="ar"/>
        </w:rPr>
        <w:t>2</w:t>
      </w:r>
      <w:r>
        <w:rPr>
          <w:rFonts w:ascii="Times New Roman" w:hAnsi="Times New Roman" w:cs="宋体"/>
          <w:lang w:bidi="ar"/>
        </w:rPr>
        <w:t>022</w:t>
      </w:r>
      <w:r>
        <w:rPr>
          <w:rFonts w:hint="eastAsia" w:ascii="Times New Roman" w:hAnsi="Times New Roman" w:cs="宋体"/>
          <w:lang w:bidi="ar"/>
        </w:rPr>
        <w:t>年</w:t>
      </w:r>
      <w:r>
        <w:rPr>
          <w:rFonts w:ascii="Times New Roman" w:hAnsi="Times New Roman" w:cs="宋体"/>
          <w:lang w:bidi="ar"/>
        </w:rPr>
        <w:t>9</w:t>
      </w:r>
      <w:r>
        <w:rPr>
          <w:rFonts w:hint="eastAsia" w:ascii="Times New Roman" w:hAnsi="Times New Roman" w:cs="宋体"/>
          <w:lang w:bidi="ar"/>
        </w:rPr>
        <w:t>月2</w:t>
      </w:r>
      <w:r>
        <w:rPr>
          <w:rFonts w:ascii="Times New Roman" w:hAnsi="Times New Roman" w:cs="宋体"/>
          <w:lang w:bidi="ar"/>
        </w:rPr>
        <w:t>6</w:t>
      </w:r>
      <w:r>
        <w:rPr>
          <w:rFonts w:hint="eastAsia" w:ascii="Times New Roman" w:hAnsi="Times New Roman" w:cs="宋体"/>
          <w:lang w:bidi="ar"/>
        </w:rPr>
        <w:t>日，公司召开了第八届董事会2</w:t>
      </w:r>
      <w:r>
        <w:rPr>
          <w:rFonts w:ascii="Times New Roman" w:hAnsi="Times New Roman" w:cs="宋体"/>
          <w:lang w:bidi="ar"/>
        </w:rPr>
        <w:t>022</w:t>
      </w:r>
      <w:r>
        <w:rPr>
          <w:rFonts w:hint="eastAsia" w:ascii="Times New Roman" w:hAnsi="Times New Roman" w:cs="宋体"/>
          <w:lang w:bidi="ar"/>
        </w:rPr>
        <w:t>年第四次临时会议</w:t>
      </w:r>
      <w:r>
        <w:rPr>
          <w:rFonts w:hint="eastAsia" w:ascii="Times New Roman" w:hAnsi="Times New Roman" w:cs="宋体"/>
          <w:lang w:val="en-US" w:eastAsia="zh-Hans" w:bidi="ar"/>
        </w:rPr>
        <w:t>和</w:t>
      </w:r>
      <w:r>
        <w:rPr>
          <w:rFonts w:hint="eastAsia" w:ascii="Times New Roman" w:hAnsi="Times New Roman" w:cs="宋体"/>
          <w:highlight w:val="none"/>
          <w:lang w:bidi="ar"/>
        </w:rPr>
        <w:t>第八届监事会第</w:t>
      </w:r>
      <w:r>
        <w:rPr>
          <w:rFonts w:hint="eastAsia" w:ascii="Times New Roman" w:hAnsi="Times New Roman" w:cs="宋体"/>
          <w:highlight w:val="none"/>
          <w:lang w:val="en-US" w:eastAsia="zh-Hans" w:bidi="ar"/>
        </w:rPr>
        <w:t>七</w:t>
      </w:r>
      <w:r>
        <w:rPr>
          <w:rFonts w:hint="eastAsia" w:ascii="Times New Roman" w:hAnsi="Times New Roman" w:cs="宋体"/>
          <w:lang w:bidi="ar"/>
        </w:rPr>
        <w:t>会议，审议通过了《</w:t>
      </w:r>
      <w:r>
        <w:rPr>
          <w:rFonts w:hint="eastAsia" w:ascii="Times New Roman" w:hAnsi="Times New Roman"/>
        </w:rPr>
        <w:t>关于调整2021年股票期权行权价格的议案》。</w:t>
      </w:r>
    </w:p>
    <w:p>
      <w:pPr>
        <w:shd w:val="clear" w:color="auto" w:fill="FFFFFF"/>
        <w:adjustRightInd w:val="0"/>
        <w:snapToGrid w:val="0"/>
        <w:rPr>
          <w:rFonts w:ascii="Times New Roman" w:hAnsi="Times New Roman"/>
        </w:rPr>
      </w:pPr>
      <w:r>
        <w:rPr>
          <w:rFonts w:hint="eastAsia" w:ascii="Times New Roman" w:hAnsi="Times New Roman" w:cs="宋体"/>
          <w:lang w:val="en-US" w:eastAsia="zh-Hans" w:bidi="ar"/>
        </w:rPr>
        <w:t>综上所述</w:t>
      </w:r>
      <w:r>
        <w:rPr>
          <w:rFonts w:hint="default" w:ascii="Times New Roman" w:hAnsi="Times New Roman" w:cs="宋体"/>
          <w:lang w:eastAsia="zh-Hans" w:bidi="ar"/>
        </w:rPr>
        <w:t>，</w:t>
      </w:r>
      <w:r>
        <w:rPr>
          <w:rFonts w:hint="eastAsia" w:ascii="Times New Roman" w:hAnsi="Times New Roman" w:cs="宋体"/>
          <w:lang w:bidi="ar"/>
        </w:rPr>
        <w:t>本所律师认为，截至本法律意见书出具之日，</w:t>
      </w:r>
      <w:r>
        <w:rPr>
          <w:rFonts w:hint="eastAsia" w:ascii="Times New Roman" w:hAnsi="Times New Roman" w:cs="宋体"/>
          <w:lang w:val="en-US" w:eastAsia="zh-Hans" w:bidi="ar"/>
        </w:rPr>
        <w:t>华孚时尚已就本次股权激励计划履行了必要的法定程序</w:t>
      </w:r>
      <w:r>
        <w:rPr>
          <w:rFonts w:hint="default" w:ascii="Times New Roman" w:hAnsi="Times New Roman" w:cs="宋体"/>
          <w:lang w:eastAsia="zh-Hans" w:bidi="ar"/>
        </w:rPr>
        <w:t>，</w:t>
      </w:r>
      <w:r>
        <w:rPr>
          <w:rFonts w:hint="eastAsia" w:ascii="Times New Roman" w:hAnsi="Times New Roman" w:cs="宋体"/>
          <w:lang w:bidi="ar"/>
        </w:rPr>
        <w:t>符合《管理办法》等法律、法规、规范性文件和公司本次</w:t>
      </w:r>
      <w:r>
        <w:rPr>
          <w:rFonts w:hint="eastAsia" w:ascii="Times New Roman" w:hAnsi="Times New Roman" w:cs="宋体"/>
          <w:lang w:val="en-US" w:eastAsia="zh-Hans" w:bidi="ar"/>
        </w:rPr>
        <w:t>股权</w:t>
      </w:r>
      <w:r>
        <w:rPr>
          <w:rFonts w:hint="eastAsia" w:ascii="Times New Roman" w:hAnsi="Times New Roman" w:cs="宋体"/>
          <w:lang w:bidi="ar"/>
        </w:rPr>
        <w:t>激励计划的有关规定。</w:t>
      </w:r>
    </w:p>
    <w:p>
      <w:pPr>
        <w:pStyle w:val="2"/>
        <w:keepNext/>
        <w:keepLines/>
        <w:pageBreakBefore w:val="0"/>
        <w:widowControl/>
        <w:kinsoku/>
        <w:wordWrap/>
        <w:overflowPunct/>
        <w:topLinePunct w:val="0"/>
        <w:autoSpaceDE/>
        <w:autoSpaceDN/>
        <w:bidi w:val="0"/>
        <w:adjustRightInd w:val="0"/>
        <w:snapToGrid w:val="0"/>
        <w:spacing w:before="164" w:beforeLines="50" w:after="164" w:afterLines="50" w:line="360" w:lineRule="auto"/>
        <w:ind w:firstLine="562"/>
        <w:jc w:val="both"/>
        <w:textAlignment w:val="auto"/>
        <w:rPr>
          <w:rFonts w:hint="eastAsia" w:ascii="Times New Roman" w:hAnsi="Times New Roman"/>
          <w:sz w:val="28"/>
          <w:szCs w:val="28"/>
        </w:rPr>
      </w:pPr>
      <w:r>
        <w:rPr>
          <w:rFonts w:hint="eastAsia" w:ascii="Times New Roman" w:hAnsi="Times New Roman"/>
          <w:sz w:val="28"/>
          <w:szCs w:val="28"/>
        </w:rPr>
        <w:t>二、本次</w:t>
      </w:r>
      <w:r>
        <w:rPr>
          <w:rFonts w:hint="eastAsia" w:ascii="Times New Roman" w:hAnsi="Times New Roman"/>
          <w:sz w:val="28"/>
          <w:szCs w:val="28"/>
          <w:lang w:val="en-US" w:eastAsia="zh-Hans"/>
        </w:rPr>
        <w:t>终止</w:t>
      </w:r>
      <w:r>
        <w:rPr>
          <w:rFonts w:hint="eastAsia" w:ascii="Times New Roman" w:hAnsi="Times New Roman"/>
          <w:sz w:val="28"/>
          <w:szCs w:val="28"/>
        </w:rPr>
        <w:t>的</w:t>
      </w:r>
      <w:r>
        <w:rPr>
          <w:rFonts w:hint="eastAsia" w:ascii="Times New Roman" w:hAnsi="Times New Roman"/>
          <w:sz w:val="28"/>
          <w:szCs w:val="28"/>
          <w:lang w:val="en-US" w:eastAsia="zh-Hans"/>
        </w:rPr>
        <w:t>具体</w:t>
      </w:r>
      <w:r>
        <w:rPr>
          <w:rFonts w:hint="eastAsia" w:ascii="Times New Roman" w:hAnsi="Times New Roman"/>
          <w:sz w:val="28"/>
          <w:szCs w:val="28"/>
        </w:rPr>
        <w:t>情况</w:t>
      </w:r>
    </w:p>
    <w:p>
      <w:pPr>
        <w:keepNext w:val="0"/>
        <w:keepLines w:val="0"/>
        <w:pageBreakBefore w:val="0"/>
        <w:widowControl/>
        <w:kinsoku/>
        <w:wordWrap/>
        <w:overflowPunct/>
        <w:topLinePunct w:val="0"/>
        <w:autoSpaceDE/>
        <w:autoSpaceDN/>
        <w:bidi w:val="0"/>
        <w:adjustRightInd w:val="0"/>
        <w:snapToGrid w:val="0"/>
        <w:spacing w:before="164" w:beforeLines="50"/>
        <w:textAlignment w:val="auto"/>
        <w:rPr>
          <w:rFonts w:hint="eastAsia" w:ascii="Times New Roman" w:hAnsi="Times New Roman" w:cs="Times New Roman"/>
          <w:b/>
          <w:bCs/>
          <w:color w:val="000000"/>
          <w:lang w:val="en-US" w:eastAsia="zh-Hans" w:bidi="ar"/>
        </w:rPr>
      </w:pPr>
      <w:r>
        <w:rPr>
          <w:rFonts w:hint="eastAsia" w:ascii="Times New Roman" w:hAnsi="Times New Roman" w:cs="Times New Roman"/>
          <w:b/>
          <w:bCs/>
          <w:color w:val="000000"/>
          <w:lang w:eastAsia="zh-Hans" w:bidi="ar"/>
        </w:rPr>
        <w:t>（</w:t>
      </w:r>
      <w:r>
        <w:rPr>
          <w:rFonts w:hint="eastAsia" w:ascii="Times New Roman" w:hAnsi="Times New Roman" w:cs="Times New Roman"/>
          <w:b/>
          <w:bCs/>
          <w:color w:val="000000"/>
          <w:lang w:bidi="ar"/>
        </w:rPr>
        <w:t>一</w:t>
      </w:r>
      <w:r>
        <w:rPr>
          <w:rFonts w:hint="eastAsia" w:ascii="Times New Roman" w:hAnsi="Times New Roman" w:cs="Times New Roman"/>
          <w:b/>
          <w:bCs/>
          <w:color w:val="000000"/>
          <w:lang w:eastAsia="zh-Hans" w:bidi="ar"/>
        </w:rPr>
        <w:t>）</w:t>
      </w:r>
      <w:r>
        <w:rPr>
          <w:rFonts w:hint="eastAsia" w:ascii="Times New Roman" w:hAnsi="Times New Roman" w:cs="Times New Roman"/>
          <w:b/>
          <w:bCs/>
          <w:color w:val="000000"/>
          <w:lang w:val="en-US" w:eastAsia="zh-Hans" w:bidi="ar"/>
        </w:rPr>
        <w:t>终止实施</w:t>
      </w:r>
      <w:r>
        <w:rPr>
          <w:rFonts w:hint="default" w:ascii="Times New Roman" w:hAnsi="Times New Roman" w:cs="Times New Roman"/>
          <w:b/>
          <w:bCs/>
          <w:color w:val="000000"/>
          <w:lang w:eastAsia="zh-Hans" w:bidi="ar"/>
        </w:rPr>
        <w:t>本</w:t>
      </w:r>
      <w:r>
        <w:rPr>
          <w:rFonts w:hint="eastAsia" w:ascii="Times New Roman" w:hAnsi="Times New Roman" w:cs="Times New Roman"/>
          <w:b/>
          <w:bCs/>
          <w:color w:val="000000"/>
          <w:lang w:val="en-US" w:eastAsia="zh-Hans" w:bidi="ar"/>
        </w:rPr>
        <w:t>次股权</w:t>
      </w:r>
      <w:r>
        <w:rPr>
          <w:rFonts w:hint="default" w:ascii="Times New Roman" w:hAnsi="Times New Roman" w:cs="Times New Roman"/>
          <w:b/>
          <w:bCs/>
          <w:color w:val="000000"/>
          <w:lang w:eastAsia="zh-Hans" w:bidi="ar"/>
        </w:rPr>
        <w:t>激励计划并注销股票期权</w:t>
      </w:r>
      <w:r>
        <w:rPr>
          <w:rFonts w:hint="eastAsia" w:ascii="Times New Roman" w:hAnsi="Times New Roman" w:cs="Times New Roman"/>
          <w:b/>
          <w:bCs/>
          <w:color w:val="000000"/>
          <w:lang w:val="en-US" w:eastAsia="zh-Hans" w:bidi="ar"/>
        </w:rPr>
        <w:t>已履行的程序</w:t>
      </w:r>
    </w:p>
    <w:p>
      <w:pPr>
        <w:adjustRightInd w:val="0"/>
        <w:snapToGrid w:val="0"/>
        <w:rPr>
          <w:rFonts w:hint="default" w:ascii="Times New Roman" w:hAnsi="Times New Roman"/>
          <w:kern w:val="44"/>
          <w:szCs w:val="32"/>
          <w:lang w:eastAsia="zh-Hans"/>
        </w:rPr>
      </w:pPr>
      <w:r>
        <w:rPr>
          <w:rFonts w:hint="eastAsia" w:ascii="Times New Roman" w:hAnsi="Times New Roman"/>
          <w:kern w:val="44"/>
          <w:szCs w:val="32"/>
          <w:lang w:val="en-US" w:eastAsia="zh-Hans"/>
        </w:rPr>
        <w:t>根据公司有关本次终止的董事会</w:t>
      </w:r>
      <w:r>
        <w:rPr>
          <w:rFonts w:hint="default" w:ascii="Times New Roman" w:hAnsi="Times New Roman"/>
          <w:kern w:val="44"/>
          <w:szCs w:val="32"/>
          <w:lang w:eastAsia="zh-Hans"/>
        </w:rPr>
        <w:t>、</w:t>
      </w:r>
      <w:r>
        <w:rPr>
          <w:rFonts w:hint="eastAsia" w:ascii="Times New Roman" w:hAnsi="Times New Roman"/>
          <w:kern w:val="44"/>
          <w:szCs w:val="32"/>
          <w:lang w:val="en-US" w:eastAsia="zh-Hans"/>
        </w:rPr>
        <w:t>监事会决议公告</w:t>
      </w:r>
      <w:r>
        <w:rPr>
          <w:rFonts w:hint="default" w:ascii="Times New Roman" w:hAnsi="Times New Roman"/>
          <w:kern w:val="44"/>
          <w:szCs w:val="32"/>
          <w:lang w:eastAsia="zh-Hans"/>
        </w:rPr>
        <w:t>、</w:t>
      </w:r>
      <w:r>
        <w:rPr>
          <w:rFonts w:hint="eastAsia" w:ascii="Times New Roman" w:hAnsi="Times New Roman"/>
          <w:kern w:val="44"/>
          <w:szCs w:val="32"/>
          <w:lang w:val="en-US" w:eastAsia="zh-Hans"/>
        </w:rPr>
        <w:t>独立董事及相关公告文件</w:t>
      </w:r>
      <w:r>
        <w:rPr>
          <w:rFonts w:hint="default" w:ascii="Times New Roman" w:hAnsi="Times New Roman"/>
          <w:kern w:val="44"/>
          <w:szCs w:val="32"/>
          <w:lang w:eastAsia="zh-Hans"/>
        </w:rPr>
        <w:t>，</w:t>
      </w:r>
      <w:r>
        <w:rPr>
          <w:rFonts w:hint="eastAsia" w:ascii="Times New Roman" w:hAnsi="Times New Roman"/>
          <w:kern w:val="44"/>
          <w:szCs w:val="32"/>
          <w:lang w:val="en-US" w:eastAsia="zh-Hans"/>
        </w:rPr>
        <w:t>截至本法律意见书出具日</w:t>
      </w:r>
      <w:r>
        <w:rPr>
          <w:rFonts w:hint="default" w:ascii="Times New Roman" w:hAnsi="Times New Roman"/>
          <w:kern w:val="44"/>
          <w:szCs w:val="32"/>
          <w:lang w:eastAsia="zh-Hans"/>
        </w:rPr>
        <w:t>，</w:t>
      </w:r>
      <w:r>
        <w:rPr>
          <w:rFonts w:hint="eastAsia" w:ascii="Times New Roman" w:hAnsi="Times New Roman"/>
          <w:kern w:val="44"/>
          <w:szCs w:val="32"/>
          <w:lang w:val="en-US" w:eastAsia="zh-Hans"/>
        </w:rPr>
        <w:t>本次终止已履行的程序如下</w:t>
      </w:r>
      <w:r>
        <w:rPr>
          <w:rFonts w:hint="default" w:ascii="Times New Roman" w:hAnsi="Times New Roman"/>
          <w:kern w:val="44"/>
          <w:szCs w:val="32"/>
          <w:lang w:eastAsia="zh-Hans"/>
        </w:rPr>
        <w:t>：</w:t>
      </w:r>
    </w:p>
    <w:p>
      <w:pPr>
        <w:adjustRightInd w:val="0"/>
        <w:snapToGrid w:val="0"/>
        <w:rPr>
          <w:rFonts w:hint="default" w:ascii="Times New Roman" w:hAnsi="Times New Roman"/>
          <w:kern w:val="44"/>
          <w:szCs w:val="32"/>
          <w:lang w:eastAsia="zh-Hans"/>
        </w:rPr>
      </w:pPr>
      <w:r>
        <w:rPr>
          <w:rFonts w:hint="default" w:ascii="Times New Roman" w:hAnsi="Times New Roman"/>
          <w:kern w:val="44"/>
          <w:szCs w:val="32"/>
          <w:lang w:eastAsia="zh-Hans"/>
        </w:rPr>
        <w:t>1、2023</w:t>
      </w:r>
      <w:r>
        <w:rPr>
          <w:rFonts w:hint="eastAsia" w:ascii="Times New Roman" w:hAnsi="Times New Roman"/>
          <w:kern w:val="44"/>
          <w:szCs w:val="32"/>
          <w:lang w:val="en-US" w:eastAsia="zh-Hans"/>
        </w:rPr>
        <w:t>年</w:t>
      </w:r>
      <w:r>
        <w:rPr>
          <w:rFonts w:hint="default" w:ascii="Times New Roman" w:hAnsi="Times New Roman"/>
          <w:kern w:val="44"/>
          <w:szCs w:val="32"/>
          <w:lang w:eastAsia="zh-Hans"/>
        </w:rPr>
        <w:t>9</w:t>
      </w:r>
      <w:r>
        <w:rPr>
          <w:rFonts w:hint="eastAsia" w:ascii="Times New Roman" w:hAnsi="Times New Roman"/>
          <w:kern w:val="44"/>
          <w:szCs w:val="32"/>
          <w:lang w:val="en-US" w:eastAsia="zh-Hans"/>
        </w:rPr>
        <w:t>月</w:t>
      </w:r>
      <w:r>
        <w:rPr>
          <w:rFonts w:hint="default" w:ascii="Times New Roman" w:hAnsi="Times New Roman"/>
          <w:kern w:val="44"/>
          <w:szCs w:val="32"/>
          <w:lang w:eastAsia="zh-Hans"/>
        </w:rPr>
        <w:t>19</w:t>
      </w:r>
      <w:r>
        <w:rPr>
          <w:rFonts w:hint="eastAsia" w:ascii="Times New Roman" w:hAnsi="Times New Roman"/>
          <w:kern w:val="44"/>
          <w:szCs w:val="32"/>
          <w:lang w:val="en-US" w:eastAsia="zh-Hans"/>
        </w:rPr>
        <w:t>日</w:t>
      </w:r>
      <w:r>
        <w:rPr>
          <w:rFonts w:hint="default" w:ascii="Times New Roman" w:hAnsi="Times New Roman"/>
          <w:kern w:val="44"/>
          <w:szCs w:val="32"/>
          <w:lang w:eastAsia="zh-Hans"/>
        </w:rPr>
        <w:t>，</w:t>
      </w:r>
      <w:r>
        <w:rPr>
          <w:rFonts w:hint="eastAsia" w:ascii="Times New Roman" w:hAnsi="Times New Roman"/>
          <w:kern w:val="44"/>
          <w:szCs w:val="32"/>
          <w:lang w:val="en-US" w:eastAsia="zh-Hans"/>
        </w:rPr>
        <w:t>公司</w:t>
      </w:r>
      <w:r>
        <w:rPr>
          <w:rFonts w:hint="default" w:ascii="Times New Roman" w:hAnsi="Times New Roman"/>
          <w:kern w:val="44"/>
          <w:szCs w:val="32"/>
          <w:lang w:eastAsia="zh-Hans"/>
        </w:rPr>
        <w:t>召开了第八届董事会2023年第三次临时会议，审议通过了《关于拟终止实施2021年股票期权激励计划并注销股票期权的议案》，鉴于内外部市场环境发生变化，股权激励计划的行权条件已不具备，本次股权激励计划无法继续实施。</w:t>
      </w:r>
      <w:r>
        <w:rPr>
          <w:rFonts w:hint="default" w:ascii="Times New Roman" w:hAnsi="Times New Roman"/>
          <w:kern w:val="44"/>
          <w:szCs w:val="32"/>
          <w:highlight w:val="none"/>
          <w:lang w:eastAsia="zh-Hans"/>
        </w:rPr>
        <w:t>为充分保护激励对象、公司及全体股东的利益，结合公司未来发展规划，公司董事会经审慎研究，并征询激励对象意见，公司拟提前终止实施2021年股票期权激励计划并注销拟授予但尚未行权的股票期权5,000万份。</w:t>
      </w:r>
    </w:p>
    <w:p>
      <w:pPr>
        <w:adjustRightInd w:val="0"/>
        <w:snapToGrid w:val="0"/>
        <w:rPr>
          <w:rFonts w:hint="eastAsia" w:ascii="Times New Roman" w:hAnsi="Times New Roman" w:cs="Times New Roman"/>
          <w:color w:val="000000"/>
          <w:lang w:val="en-US" w:eastAsia="zh-Hans" w:bidi="ar"/>
        </w:rPr>
      </w:pPr>
      <w:r>
        <w:rPr>
          <w:rFonts w:hint="default" w:ascii="Times New Roman" w:hAnsi="Times New Roman" w:cs="Times New Roman"/>
          <w:color w:val="000000"/>
          <w:lang w:eastAsia="zh-Hans" w:bidi="ar"/>
        </w:rPr>
        <w:t>2、2023</w:t>
      </w:r>
      <w:r>
        <w:rPr>
          <w:rFonts w:hint="eastAsia" w:ascii="Times New Roman" w:hAnsi="Times New Roman" w:cs="Times New Roman"/>
          <w:color w:val="000000"/>
          <w:lang w:val="en-US" w:eastAsia="zh-Hans" w:bidi="ar"/>
        </w:rPr>
        <w:t>年</w:t>
      </w:r>
      <w:r>
        <w:rPr>
          <w:rFonts w:hint="default" w:ascii="Times New Roman" w:hAnsi="Times New Roman" w:cs="Times New Roman"/>
          <w:color w:val="000000"/>
          <w:lang w:eastAsia="zh-Hans" w:bidi="ar"/>
        </w:rPr>
        <w:t>9</w:t>
      </w:r>
      <w:r>
        <w:rPr>
          <w:rFonts w:hint="eastAsia" w:ascii="Times New Roman" w:hAnsi="Times New Roman" w:cs="Times New Roman"/>
          <w:color w:val="000000"/>
          <w:lang w:val="en-US" w:eastAsia="zh-Hans" w:bidi="ar"/>
        </w:rPr>
        <w:t>月</w:t>
      </w:r>
      <w:r>
        <w:rPr>
          <w:rFonts w:hint="default" w:ascii="Times New Roman" w:hAnsi="Times New Roman" w:cs="Times New Roman"/>
          <w:color w:val="000000"/>
          <w:lang w:eastAsia="zh-Hans" w:bidi="ar"/>
        </w:rPr>
        <w:t>19</w:t>
      </w:r>
      <w:r>
        <w:rPr>
          <w:rFonts w:hint="eastAsia" w:ascii="Times New Roman" w:hAnsi="Times New Roman" w:cs="Times New Roman"/>
          <w:color w:val="000000"/>
          <w:lang w:val="en-US" w:eastAsia="zh-Hans" w:bidi="ar"/>
        </w:rPr>
        <w:t>日</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公司独立董事就本次终止发表独立意见</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认为</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本次终止实施2021年股票期权激励计划符合《上市公司股权激励管理办法》等法律法规及公司《2021年股票期权激励计划（草案）》的有关规定，审议程序合法合规，不存在损害公司及全体股东尤其是中小股东利益。因此，独立董事同意公司终止实施2021年股票期权激励计划并注销股票期权事项，并同意提交公司股东大会审议。</w:t>
      </w:r>
    </w:p>
    <w:p>
      <w:pPr>
        <w:adjustRightInd w:val="0"/>
        <w:snapToGrid w:val="0"/>
        <w:rPr>
          <w:rFonts w:hint="default" w:ascii="Times New Roman" w:hAnsi="Times New Roman"/>
          <w:kern w:val="44"/>
          <w:szCs w:val="32"/>
          <w:lang w:eastAsia="zh-Hans"/>
        </w:rPr>
      </w:pPr>
      <w:r>
        <w:rPr>
          <w:rFonts w:hint="default" w:ascii="Times New Roman" w:hAnsi="Times New Roman" w:cs="Times New Roman"/>
          <w:color w:val="000000"/>
          <w:lang w:eastAsia="zh-Hans" w:bidi="ar"/>
        </w:rPr>
        <w:t>3、</w:t>
      </w:r>
      <w:r>
        <w:rPr>
          <w:rFonts w:hint="default" w:ascii="Times New Roman" w:hAnsi="Times New Roman"/>
          <w:kern w:val="44"/>
          <w:szCs w:val="32"/>
          <w:lang w:eastAsia="zh-Hans"/>
        </w:rPr>
        <w:t>2023</w:t>
      </w:r>
      <w:r>
        <w:rPr>
          <w:rFonts w:hint="eastAsia" w:ascii="Times New Roman" w:hAnsi="Times New Roman"/>
          <w:kern w:val="44"/>
          <w:szCs w:val="32"/>
          <w:lang w:val="en-US" w:eastAsia="zh-Hans"/>
        </w:rPr>
        <w:t>年</w:t>
      </w:r>
      <w:r>
        <w:rPr>
          <w:rFonts w:hint="default" w:ascii="Times New Roman" w:hAnsi="Times New Roman"/>
          <w:kern w:val="44"/>
          <w:szCs w:val="32"/>
          <w:lang w:eastAsia="zh-Hans"/>
        </w:rPr>
        <w:t>9</w:t>
      </w:r>
      <w:r>
        <w:rPr>
          <w:rFonts w:hint="eastAsia" w:ascii="Times New Roman" w:hAnsi="Times New Roman"/>
          <w:kern w:val="44"/>
          <w:szCs w:val="32"/>
          <w:lang w:val="en-US" w:eastAsia="zh-Hans"/>
        </w:rPr>
        <w:t>月</w:t>
      </w:r>
      <w:r>
        <w:rPr>
          <w:rFonts w:hint="default" w:ascii="Times New Roman" w:hAnsi="Times New Roman"/>
          <w:kern w:val="44"/>
          <w:szCs w:val="32"/>
          <w:lang w:eastAsia="zh-Hans"/>
        </w:rPr>
        <w:t>19</w:t>
      </w:r>
      <w:r>
        <w:rPr>
          <w:rFonts w:hint="eastAsia" w:ascii="Times New Roman" w:hAnsi="Times New Roman"/>
          <w:kern w:val="44"/>
          <w:szCs w:val="32"/>
          <w:lang w:val="en-US" w:eastAsia="zh-Hans"/>
        </w:rPr>
        <w:t>日</w:t>
      </w:r>
      <w:r>
        <w:rPr>
          <w:rFonts w:hint="default" w:ascii="Times New Roman" w:hAnsi="Times New Roman"/>
          <w:kern w:val="44"/>
          <w:szCs w:val="32"/>
          <w:lang w:eastAsia="zh-Hans"/>
        </w:rPr>
        <w:t>，</w:t>
      </w:r>
      <w:r>
        <w:rPr>
          <w:rFonts w:hint="eastAsia" w:ascii="Times New Roman" w:hAnsi="Times New Roman"/>
          <w:kern w:val="44"/>
          <w:szCs w:val="32"/>
          <w:lang w:val="en-US" w:eastAsia="zh-Hans"/>
        </w:rPr>
        <w:t>公司</w:t>
      </w:r>
      <w:r>
        <w:rPr>
          <w:rFonts w:hint="default" w:ascii="Times New Roman" w:hAnsi="Times New Roman"/>
          <w:kern w:val="44"/>
          <w:szCs w:val="32"/>
          <w:lang w:eastAsia="zh-Hans"/>
        </w:rPr>
        <w:t>召开了第八届监事会第十五次会议，审议通过了《关于拟终止实施2021年股票期权激励计划并注销股票期权的议案》，</w:t>
      </w:r>
      <w:r>
        <w:rPr>
          <w:rFonts w:hint="default" w:ascii="Times New Roman" w:hAnsi="Times New Roman"/>
          <w:kern w:val="44"/>
          <w:szCs w:val="32"/>
          <w:highlight w:val="none"/>
          <w:lang w:eastAsia="zh-Hans"/>
        </w:rPr>
        <w:t>公司本次拟终止2021年股票期权激励计划并注销股票期权的相关事项符合《上市公司股权激励管理办法》和公司《2021年股票期权激励计划（草案）》等相关法律法规、制度的有关规定，不存在损害激励对象、股东及公司的利益。因此，监事会同意公司终止实施2021年股票期权激励计划并注销股票期权事项，并同意提交公司股东大会审议。</w:t>
      </w:r>
    </w:p>
    <w:p>
      <w:pPr>
        <w:keepNext w:val="0"/>
        <w:keepLines w:val="0"/>
        <w:pageBreakBefore w:val="0"/>
        <w:widowControl/>
        <w:kinsoku/>
        <w:wordWrap/>
        <w:overflowPunct/>
        <w:topLinePunct w:val="0"/>
        <w:autoSpaceDE/>
        <w:autoSpaceDN/>
        <w:bidi w:val="0"/>
        <w:adjustRightInd w:val="0"/>
        <w:snapToGrid w:val="0"/>
        <w:spacing w:before="164" w:beforeLines="50"/>
        <w:textAlignment w:val="auto"/>
        <w:rPr>
          <w:rFonts w:hint="eastAsia" w:ascii="Times New Roman" w:hAnsi="Times New Roman" w:cs="Times New Roman"/>
          <w:b/>
          <w:bCs/>
          <w:color w:val="000000"/>
          <w:lang w:val="en-US" w:eastAsia="zh-Hans" w:bidi="ar"/>
        </w:rPr>
      </w:pPr>
      <w:r>
        <w:rPr>
          <w:rFonts w:hint="default" w:ascii="Times New Roman" w:hAnsi="Times New Roman" w:cs="Times New Roman"/>
          <w:b/>
          <w:bCs/>
          <w:color w:val="000000"/>
          <w:lang w:eastAsia="zh-Hans" w:bidi="ar"/>
        </w:rPr>
        <w:t>（</w:t>
      </w:r>
      <w:r>
        <w:rPr>
          <w:rFonts w:hint="eastAsia" w:ascii="Times New Roman" w:hAnsi="Times New Roman" w:cs="Times New Roman"/>
          <w:b/>
          <w:bCs/>
          <w:color w:val="000000"/>
          <w:lang w:val="en-US" w:eastAsia="zh-Hans" w:bidi="ar"/>
        </w:rPr>
        <w:t>二</w:t>
      </w:r>
      <w:r>
        <w:rPr>
          <w:rFonts w:hint="default" w:ascii="Times New Roman" w:hAnsi="Times New Roman" w:cs="Times New Roman"/>
          <w:b/>
          <w:bCs/>
          <w:color w:val="000000"/>
          <w:lang w:eastAsia="zh-Hans" w:bidi="ar"/>
        </w:rPr>
        <w:t>）终止实施本</w:t>
      </w:r>
      <w:r>
        <w:rPr>
          <w:rFonts w:hint="eastAsia" w:ascii="Times New Roman" w:hAnsi="Times New Roman" w:cs="Times New Roman"/>
          <w:b/>
          <w:bCs/>
          <w:color w:val="000000"/>
          <w:lang w:val="en-US" w:eastAsia="zh-Hans" w:bidi="ar"/>
        </w:rPr>
        <w:t>次股权</w:t>
      </w:r>
      <w:r>
        <w:rPr>
          <w:rFonts w:hint="default" w:ascii="Times New Roman" w:hAnsi="Times New Roman" w:cs="Times New Roman"/>
          <w:b/>
          <w:bCs/>
          <w:color w:val="000000"/>
          <w:lang w:eastAsia="zh-Hans" w:bidi="ar"/>
        </w:rPr>
        <w:t>激励计划并注销股票期权的原因</w:t>
      </w:r>
    </w:p>
    <w:p>
      <w:pPr>
        <w:numPr>
          <w:ilvl w:val="0"/>
          <w:numId w:val="0"/>
        </w:numPr>
        <w:adjustRightInd w:val="0"/>
        <w:snapToGrid w:val="0"/>
        <w:rPr>
          <w:rFonts w:hint="default" w:ascii="Times New Roman" w:hAnsi="Times New Roman" w:cs="Times New Roman"/>
          <w:color w:val="000000"/>
          <w:lang w:eastAsia="zh-Hans" w:bidi="ar"/>
        </w:rPr>
      </w:pPr>
      <w:r>
        <w:rPr>
          <w:rFonts w:hint="default" w:ascii="Times New Roman" w:hAnsi="Times New Roman" w:cs="Times New Roman"/>
          <w:color w:val="000000"/>
          <w:lang w:eastAsia="zh-Hans" w:bidi="ar"/>
        </w:rPr>
        <w:t xml:space="preserve">   </w:t>
      </w:r>
      <w:r>
        <w:rPr>
          <w:rFonts w:hint="eastAsia" w:ascii="Times New Roman" w:hAnsi="Times New Roman" w:cs="Times New Roman"/>
          <w:color w:val="000000"/>
          <w:lang w:val="en-US" w:eastAsia="zh-Hans" w:bidi="ar"/>
        </w:rPr>
        <w:t>根据公司关于本次股权激励计划的相关公告和公司的确认</w:t>
      </w:r>
      <w:r>
        <w:rPr>
          <w:rFonts w:hint="default" w:ascii="Times New Roman" w:hAnsi="Times New Roman" w:cs="Times New Roman"/>
          <w:color w:val="000000"/>
          <w:lang w:eastAsia="zh-Hans" w:bidi="ar"/>
        </w:rPr>
        <w:t>，鉴于内外部市场环境发生变化，股权激励计划的行权条件已不具备，本次股权激励计划无法继续实施。为充分保护激励对象、公司及全体股东的利益，结合公司未来发展规划，公司董事会经审慎研究，并征询激励对象意见，公司拟提前终止实施2021年股票期权激励计划并注销拟授予但尚未行权的股票期</w:t>
      </w:r>
      <w:r>
        <w:rPr>
          <w:rFonts w:hint="eastAsia" w:ascii="Times New Roman" w:hAnsi="Times New Roman" w:cs="Times New Roman"/>
          <w:color w:val="000000"/>
          <w:lang w:val="en-US" w:eastAsia="zh-Hans" w:bidi="ar"/>
        </w:rPr>
        <w:t>权</w:t>
      </w:r>
      <w:r>
        <w:rPr>
          <w:rFonts w:hint="default" w:ascii="Times New Roman" w:hAnsi="Times New Roman" w:cs="Times New Roman"/>
          <w:color w:val="000000"/>
          <w:lang w:eastAsia="zh-Hans" w:bidi="ar"/>
        </w:rPr>
        <w:t>。同时，一并终止与之配套的《2021年股票期权激励计划（草案）》及其摘要等相关文件。</w:t>
      </w:r>
    </w:p>
    <w:p>
      <w:pPr>
        <w:keepNext w:val="0"/>
        <w:keepLines w:val="0"/>
        <w:pageBreakBefore w:val="0"/>
        <w:widowControl/>
        <w:kinsoku/>
        <w:wordWrap/>
        <w:overflowPunct/>
        <w:topLinePunct w:val="0"/>
        <w:autoSpaceDE/>
        <w:autoSpaceDN/>
        <w:bidi w:val="0"/>
        <w:adjustRightInd w:val="0"/>
        <w:snapToGrid w:val="0"/>
        <w:spacing w:before="164" w:beforeLines="50"/>
        <w:textAlignment w:val="auto"/>
        <w:rPr>
          <w:rFonts w:hint="eastAsia" w:ascii="Times New Roman" w:hAnsi="Times New Roman" w:cs="Times New Roman"/>
          <w:b/>
          <w:bCs/>
          <w:color w:val="000000"/>
          <w:lang w:val="en-US" w:eastAsia="zh-Hans" w:bidi="ar"/>
        </w:rPr>
      </w:pPr>
      <w:r>
        <w:rPr>
          <w:rFonts w:hint="default" w:ascii="Times New Roman" w:hAnsi="Times New Roman" w:cs="Times New Roman"/>
          <w:b/>
          <w:bCs/>
          <w:color w:val="000000"/>
          <w:lang w:eastAsia="zh-Hans" w:bidi="ar"/>
        </w:rPr>
        <w:t>（</w:t>
      </w:r>
      <w:r>
        <w:rPr>
          <w:rFonts w:hint="eastAsia" w:ascii="Times New Roman" w:hAnsi="Times New Roman" w:cs="Times New Roman"/>
          <w:b/>
          <w:bCs/>
          <w:color w:val="000000"/>
          <w:lang w:val="en-US" w:eastAsia="zh-Hans" w:bidi="ar"/>
        </w:rPr>
        <w:t>三</w:t>
      </w:r>
      <w:r>
        <w:rPr>
          <w:rFonts w:hint="default" w:ascii="Times New Roman" w:hAnsi="Times New Roman" w:cs="Times New Roman"/>
          <w:b/>
          <w:bCs/>
          <w:color w:val="000000"/>
          <w:lang w:eastAsia="zh-Hans" w:bidi="ar"/>
        </w:rPr>
        <w:t>）</w:t>
      </w:r>
      <w:r>
        <w:rPr>
          <w:rFonts w:hint="eastAsia" w:ascii="Times New Roman" w:hAnsi="Times New Roman" w:cs="Times New Roman"/>
          <w:b/>
          <w:bCs/>
          <w:color w:val="000000"/>
          <w:lang w:val="en-US" w:eastAsia="zh-Hans" w:bidi="ar"/>
        </w:rPr>
        <w:t>注销股票期权的数量</w:t>
      </w:r>
    </w:p>
    <w:p>
      <w:pPr>
        <w:numPr>
          <w:ilvl w:val="0"/>
          <w:numId w:val="0"/>
        </w:numPr>
        <w:adjustRightInd w:val="0"/>
        <w:snapToGrid w:val="0"/>
        <w:rPr>
          <w:rFonts w:hint="default" w:ascii="Times New Roman" w:hAnsi="Times New Roman" w:cs="Times New Roman"/>
          <w:color w:val="000000"/>
          <w:lang w:eastAsia="zh-Hans" w:bidi="ar"/>
        </w:rPr>
      </w:pPr>
      <w:r>
        <w:rPr>
          <w:rFonts w:hint="default" w:ascii="Times New Roman" w:hAnsi="Times New Roman" w:cs="Times New Roman"/>
          <w:color w:val="000000"/>
          <w:lang w:eastAsia="zh-Hans" w:bidi="ar"/>
        </w:rPr>
        <w:t xml:space="preserve">   </w:t>
      </w:r>
      <w:r>
        <w:rPr>
          <w:rFonts w:hint="eastAsia" w:ascii="Times New Roman" w:hAnsi="Times New Roman" w:cs="Times New Roman"/>
          <w:color w:val="000000"/>
          <w:lang w:val="en-US" w:eastAsia="zh-Hans" w:bidi="ar"/>
        </w:rPr>
        <w:t>上述因终止实施本次股权激励计划</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需注销已授予但尚未行权的股票期权共</w:t>
      </w:r>
      <w:r>
        <w:rPr>
          <w:rFonts w:hint="default" w:ascii="Times New Roman" w:hAnsi="Times New Roman" w:cs="Times New Roman"/>
          <w:color w:val="000000"/>
          <w:lang w:eastAsia="zh-Hans" w:bidi="ar"/>
        </w:rPr>
        <w:t>5,000</w:t>
      </w:r>
      <w:r>
        <w:rPr>
          <w:rFonts w:hint="eastAsia" w:ascii="Times New Roman" w:hAnsi="Times New Roman" w:cs="Times New Roman"/>
          <w:color w:val="000000"/>
          <w:lang w:val="en-US" w:eastAsia="zh-Hans" w:bidi="ar"/>
        </w:rPr>
        <w:t>万份</w:t>
      </w:r>
      <w:r>
        <w:rPr>
          <w:rFonts w:hint="default" w:ascii="Times New Roman" w:hAnsi="Times New Roman" w:cs="Times New Roman"/>
          <w:color w:val="000000"/>
          <w:lang w:eastAsia="zh-Hans" w:bidi="ar"/>
        </w:rPr>
        <w:t>。</w:t>
      </w:r>
    </w:p>
    <w:p>
      <w:pPr>
        <w:keepNext w:val="0"/>
        <w:keepLines w:val="0"/>
        <w:pageBreakBefore w:val="0"/>
        <w:widowControl/>
        <w:kinsoku/>
        <w:wordWrap/>
        <w:overflowPunct/>
        <w:topLinePunct w:val="0"/>
        <w:autoSpaceDE/>
        <w:autoSpaceDN/>
        <w:bidi w:val="0"/>
        <w:adjustRightInd w:val="0"/>
        <w:snapToGrid w:val="0"/>
        <w:spacing w:before="164" w:beforeLines="50"/>
        <w:textAlignment w:val="auto"/>
        <w:rPr>
          <w:rFonts w:hint="default" w:ascii="Times New Roman" w:hAnsi="Times New Roman" w:cs="Times New Roman"/>
          <w:b/>
          <w:bCs/>
          <w:color w:val="000000"/>
          <w:lang w:eastAsia="zh-Hans" w:bidi="ar"/>
        </w:rPr>
      </w:pPr>
      <w:r>
        <w:rPr>
          <w:rFonts w:hint="default" w:ascii="Times New Roman" w:hAnsi="Times New Roman" w:cs="Times New Roman"/>
          <w:b/>
          <w:bCs/>
          <w:color w:val="000000"/>
          <w:lang w:eastAsia="zh-Hans" w:bidi="ar"/>
        </w:rPr>
        <w:t>（</w:t>
      </w:r>
      <w:r>
        <w:rPr>
          <w:rFonts w:hint="eastAsia" w:ascii="Times New Roman" w:hAnsi="Times New Roman" w:cs="Times New Roman"/>
          <w:b/>
          <w:bCs/>
          <w:color w:val="000000"/>
          <w:lang w:val="en-US" w:eastAsia="zh-Hans" w:bidi="ar"/>
        </w:rPr>
        <w:t>四</w:t>
      </w:r>
      <w:r>
        <w:rPr>
          <w:rFonts w:hint="default" w:ascii="Times New Roman" w:hAnsi="Times New Roman" w:cs="Times New Roman"/>
          <w:b/>
          <w:bCs/>
          <w:color w:val="000000"/>
          <w:lang w:eastAsia="zh-Hans" w:bidi="ar"/>
        </w:rPr>
        <w:t>）终止实施本</w:t>
      </w:r>
      <w:r>
        <w:rPr>
          <w:rFonts w:hint="eastAsia" w:ascii="Times New Roman" w:hAnsi="Times New Roman" w:cs="Times New Roman"/>
          <w:b/>
          <w:bCs/>
          <w:color w:val="000000"/>
          <w:lang w:val="en-US" w:eastAsia="zh-Hans" w:bidi="ar"/>
        </w:rPr>
        <w:t>次股权</w:t>
      </w:r>
      <w:r>
        <w:rPr>
          <w:rFonts w:hint="default" w:ascii="Times New Roman" w:hAnsi="Times New Roman" w:cs="Times New Roman"/>
          <w:b/>
          <w:bCs/>
          <w:color w:val="000000"/>
          <w:lang w:eastAsia="zh-Hans" w:bidi="ar"/>
        </w:rPr>
        <w:t>激励计划并注销股票期权对公司的影响</w:t>
      </w:r>
    </w:p>
    <w:p>
      <w:pPr>
        <w:numPr>
          <w:ilvl w:val="0"/>
          <w:numId w:val="0"/>
        </w:numPr>
        <w:adjustRightInd w:val="0"/>
        <w:snapToGrid w:val="0"/>
        <w:ind w:firstLine="480" w:firstLineChars="200"/>
        <w:rPr>
          <w:rFonts w:hint="default" w:ascii="Times New Roman" w:hAnsi="Times New Roman" w:cs="Times New Roman"/>
          <w:color w:val="000000"/>
          <w:lang w:eastAsia="zh-Hans" w:bidi="ar"/>
        </w:rPr>
      </w:pPr>
      <w:r>
        <w:rPr>
          <w:rFonts w:hint="default" w:ascii="Times New Roman" w:hAnsi="Times New Roman" w:cs="Times New Roman"/>
          <w:color w:val="000000"/>
          <w:lang w:eastAsia="zh-Hans" w:bidi="ar"/>
        </w:rPr>
        <w:t>公司将按照《企业会计准则》的相关规定执行终止实施2021年股票期权激励计划的相关会计处理。本次终止实施2021年股票期权激励计划，预计不会对公司当期净损益产生影响，具体金额应当以计划正式终止后标准的会计核算为准。本次提前终止实施本次激励计划，不会影响激励对象队伍的勤勉尽职。</w:t>
      </w:r>
    </w:p>
    <w:p>
      <w:pPr>
        <w:keepNext w:val="0"/>
        <w:keepLines w:val="0"/>
        <w:pageBreakBefore w:val="0"/>
        <w:widowControl/>
        <w:kinsoku/>
        <w:wordWrap/>
        <w:overflowPunct/>
        <w:topLinePunct w:val="0"/>
        <w:autoSpaceDE/>
        <w:autoSpaceDN/>
        <w:bidi w:val="0"/>
        <w:adjustRightInd w:val="0"/>
        <w:snapToGrid w:val="0"/>
        <w:spacing w:before="164" w:beforeLines="50"/>
        <w:textAlignment w:val="auto"/>
        <w:rPr>
          <w:rFonts w:hint="default" w:ascii="Times New Roman" w:hAnsi="Times New Roman" w:cs="Times New Roman"/>
          <w:b/>
          <w:bCs/>
          <w:color w:val="000000"/>
          <w:lang w:eastAsia="zh-Hans" w:bidi="ar"/>
        </w:rPr>
      </w:pPr>
      <w:r>
        <w:rPr>
          <w:rFonts w:hint="default" w:ascii="Times New Roman" w:hAnsi="Times New Roman" w:cs="Times New Roman"/>
          <w:b/>
          <w:bCs/>
          <w:color w:val="000000"/>
          <w:lang w:eastAsia="zh-Hans" w:bidi="ar"/>
        </w:rPr>
        <w:t>（</w:t>
      </w:r>
      <w:r>
        <w:rPr>
          <w:rFonts w:hint="eastAsia" w:ascii="Times New Roman" w:hAnsi="Times New Roman" w:cs="Times New Roman"/>
          <w:b/>
          <w:bCs/>
          <w:color w:val="000000"/>
          <w:lang w:val="en-US" w:eastAsia="zh-Hans" w:bidi="ar"/>
        </w:rPr>
        <w:t>五</w:t>
      </w:r>
      <w:r>
        <w:rPr>
          <w:rFonts w:hint="default" w:ascii="Times New Roman" w:hAnsi="Times New Roman" w:cs="Times New Roman"/>
          <w:b/>
          <w:bCs/>
          <w:color w:val="000000"/>
          <w:lang w:eastAsia="zh-Hans" w:bidi="ar"/>
        </w:rPr>
        <w:t>）终止实施本</w:t>
      </w:r>
      <w:r>
        <w:rPr>
          <w:rFonts w:hint="eastAsia" w:ascii="Times New Roman" w:hAnsi="Times New Roman" w:cs="Times New Roman"/>
          <w:b/>
          <w:bCs/>
          <w:color w:val="000000"/>
          <w:lang w:val="en-US" w:eastAsia="zh-Hans" w:bidi="ar"/>
        </w:rPr>
        <w:t>次股权</w:t>
      </w:r>
      <w:r>
        <w:rPr>
          <w:rFonts w:hint="default" w:ascii="Times New Roman" w:hAnsi="Times New Roman" w:cs="Times New Roman"/>
          <w:b/>
          <w:bCs/>
          <w:color w:val="000000"/>
          <w:lang w:eastAsia="zh-Hans" w:bidi="ar"/>
        </w:rPr>
        <w:t>激励计划并注销股票期权的后续安排</w:t>
      </w:r>
    </w:p>
    <w:p>
      <w:pPr>
        <w:numPr>
          <w:ilvl w:val="0"/>
          <w:numId w:val="0"/>
        </w:numPr>
        <w:adjustRightInd w:val="0"/>
        <w:snapToGrid w:val="0"/>
        <w:ind w:firstLine="480" w:firstLineChars="200"/>
        <w:rPr>
          <w:rFonts w:hint="default" w:ascii="Times New Roman" w:hAnsi="Times New Roman" w:cs="Times New Roman"/>
          <w:color w:val="000000"/>
          <w:lang w:eastAsia="zh-Hans" w:bidi="ar"/>
        </w:rPr>
      </w:pPr>
      <w:r>
        <w:rPr>
          <w:rFonts w:hint="default" w:ascii="Times New Roman" w:hAnsi="Times New Roman" w:cs="Times New Roman"/>
          <w:color w:val="000000"/>
          <w:lang w:eastAsia="zh-Hans" w:bidi="ar"/>
        </w:rPr>
        <w:t>根据《管理办法》规定，终止本次股权激励计划的议案尚需股东大会审议通过。公司一并承诺，自股东大会审议通过终止本次股权激励决议公告三个月内，上市公司不再审议和披露新的股权激励计划。</w:t>
      </w:r>
      <w:bookmarkStart w:id="0" w:name="_GoBack"/>
      <w:bookmarkEnd w:id="0"/>
    </w:p>
    <w:p>
      <w:pPr>
        <w:adjustRightInd w:val="0"/>
        <w:snapToGrid w:val="0"/>
        <w:rPr>
          <w:rFonts w:hint="default" w:ascii="Times New Roman" w:hAnsi="Times New Roman" w:eastAsia="楷体" w:cs="Times New Roman"/>
          <w:color w:val="000000"/>
          <w:lang w:eastAsia="zh-Hans" w:bidi="ar"/>
        </w:rPr>
      </w:pPr>
      <w:r>
        <w:rPr>
          <w:rFonts w:hint="eastAsia" w:ascii="Times New Roman" w:hAnsi="Times New Roman" w:cs="Times New Roman"/>
          <w:color w:val="000000"/>
          <w:lang w:val="en-US" w:eastAsia="zh-Hans" w:bidi="ar"/>
        </w:rPr>
        <w:t>综上所述</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本所律师认为</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公司终止实施本次股权激励计划并注销股票期权的原因及数量等相关事项符合</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公司法</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证券法</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管理办法</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等法律法规和规范性文件及激励计划的相关规定</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不存在明显损害公司及全体股东利益的情形</w:t>
      </w:r>
      <w:r>
        <w:rPr>
          <w:rFonts w:hint="default" w:ascii="Times New Roman" w:hAnsi="Times New Roman" w:cs="Times New Roman"/>
          <w:color w:val="000000"/>
          <w:lang w:eastAsia="zh-Hans" w:bidi="ar"/>
        </w:rPr>
        <w:t>。</w:t>
      </w:r>
    </w:p>
    <w:p>
      <w:pPr>
        <w:pStyle w:val="2"/>
        <w:keepNext/>
        <w:keepLines/>
        <w:pageBreakBefore w:val="0"/>
        <w:widowControl/>
        <w:kinsoku/>
        <w:wordWrap/>
        <w:overflowPunct/>
        <w:topLinePunct w:val="0"/>
        <w:autoSpaceDE/>
        <w:autoSpaceDN/>
        <w:bidi w:val="0"/>
        <w:adjustRightInd w:val="0"/>
        <w:snapToGrid w:val="0"/>
        <w:spacing w:before="164" w:beforeLines="50" w:after="164" w:afterLines="50" w:line="360" w:lineRule="auto"/>
        <w:ind w:firstLine="562"/>
        <w:jc w:val="both"/>
        <w:textAlignment w:val="auto"/>
        <w:rPr>
          <w:rFonts w:hint="eastAsia" w:ascii="Times New Roman" w:hAnsi="Times New Roman"/>
          <w:sz w:val="28"/>
          <w:szCs w:val="28"/>
          <w:lang w:val="en-US" w:eastAsia="zh-Hans"/>
        </w:rPr>
      </w:pPr>
      <w:r>
        <w:rPr>
          <w:rFonts w:hint="eastAsia" w:ascii="Times New Roman" w:hAnsi="Times New Roman"/>
          <w:sz w:val="28"/>
          <w:szCs w:val="28"/>
          <w:lang w:val="en-US" w:eastAsia="zh-Hans"/>
        </w:rPr>
        <w:t>三</w:t>
      </w:r>
      <w:r>
        <w:rPr>
          <w:rFonts w:hint="default" w:ascii="Times New Roman" w:hAnsi="Times New Roman"/>
          <w:sz w:val="28"/>
          <w:szCs w:val="28"/>
          <w:lang w:eastAsia="zh-Hans"/>
        </w:rPr>
        <w:t>、</w:t>
      </w:r>
      <w:r>
        <w:rPr>
          <w:rFonts w:hint="eastAsia" w:ascii="Times New Roman" w:hAnsi="Times New Roman"/>
          <w:sz w:val="28"/>
          <w:szCs w:val="28"/>
          <w:lang w:val="en-US" w:eastAsia="zh-Hans"/>
        </w:rPr>
        <w:t>结论意见</w:t>
      </w:r>
    </w:p>
    <w:p>
      <w:pPr>
        <w:numPr>
          <w:ilvl w:val="0"/>
          <w:numId w:val="0"/>
        </w:numPr>
        <w:adjustRightInd w:val="0"/>
        <w:snapToGrid w:val="0"/>
        <w:ind w:firstLine="480" w:firstLineChars="200"/>
        <w:rPr>
          <w:rFonts w:hint="default" w:ascii="Times New Roman" w:hAnsi="Times New Roman" w:cs="Times New Roman"/>
          <w:color w:val="000000"/>
          <w:lang w:eastAsia="zh-Hans" w:bidi="ar"/>
        </w:rPr>
      </w:pPr>
      <w:r>
        <w:rPr>
          <w:rFonts w:hint="default" w:ascii="Times New Roman" w:hAnsi="Times New Roman" w:cs="Times New Roman"/>
          <w:color w:val="000000"/>
          <w:lang w:eastAsia="zh-Hans" w:bidi="ar"/>
        </w:rPr>
        <w:t>综上所述，本所律师认为，截至本法律意见书出具日，本次终止已履行必要的</w:t>
      </w:r>
      <w:r>
        <w:rPr>
          <w:rFonts w:hint="eastAsia" w:ascii="Times New Roman" w:hAnsi="Times New Roman" w:cs="Times New Roman"/>
          <w:color w:val="000000"/>
          <w:lang w:val="en-US" w:eastAsia="zh-Hans" w:bidi="ar"/>
        </w:rPr>
        <w:t>批准</w:t>
      </w:r>
      <w:r>
        <w:rPr>
          <w:rFonts w:hint="default" w:ascii="Times New Roman" w:hAnsi="Times New Roman" w:cs="Times New Roman"/>
          <w:color w:val="000000"/>
          <w:lang w:eastAsia="zh-Hans" w:bidi="ar"/>
        </w:rPr>
        <w:t>程序，尚需提交股东大会审议</w:t>
      </w:r>
      <w:r>
        <w:rPr>
          <w:rFonts w:hint="eastAsia" w:ascii="Times New Roman" w:hAnsi="Times New Roman" w:cs="Times New Roman"/>
          <w:color w:val="000000"/>
          <w:lang w:val="en-US" w:eastAsia="zh-Hans" w:bidi="ar"/>
        </w:rPr>
        <w:t>通过</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公司终止实施本次股权激励计划并注销股票期权的原因及数量等相关事项符合</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公司法</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证券法</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管理办法</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等法律法规和规范性文件及本次股权激励计划的相关规定</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不存在明显损害公司及全体股东利益的情形</w:t>
      </w:r>
      <w:r>
        <w:rPr>
          <w:rFonts w:hint="default" w:ascii="Times New Roman" w:hAnsi="Times New Roman" w:cs="Times New Roman"/>
          <w:color w:val="000000"/>
          <w:lang w:eastAsia="zh-Hans" w:bidi="ar"/>
        </w:rPr>
        <w:t>；</w:t>
      </w:r>
      <w:r>
        <w:rPr>
          <w:rFonts w:hint="eastAsia" w:ascii="Times New Roman" w:hAnsi="Times New Roman" w:cs="Times New Roman"/>
          <w:color w:val="000000"/>
          <w:lang w:val="en-US" w:eastAsia="zh-Hans" w:bidi="ar"/>
        </w:rPr>
        <w:t>公司应就本次终止及时履行信息披露义务</w:t>
      </w:r>
      <w:r>
        <w:rPr>
          <w:rFonts w:hint="default" w:ascii="Times New Roman" w:hAnsi="Times New Roman" w:cs="Times New Roman"/>
          <w:color w:val="000000"/>
          <w:lang w:eastAsia="zh-Hans" w:bidi="ar"/>
        </w:rPr>
        <w:t>。</w:t>
      </w:r>
    </w:p>
    <w:p>
      <w:pPr>
        <w:numPr>
          <w:ilvl w:val="0"/>
          <w:numId w:val="0"/>
        </w:numPr>
        <w:adjustRightInd w:val="0"/>
        <w:snapToGrid w:val="0"/>
        <w:rPr>
          <w:rFonts w:ascii="Times New Roman" w:hAnsi="Times New Roman" w:cs="宋体"/>
          <w:lang w:bidi="ar"/>
        </w:rPr>
      </w:pPr>
    </w:p>
    <w:p>
      <w:pPr>
        <w:adjustRightInd w:val="0"/>
        <w:snapToGrid w:val="0"/>
        <w:rPr>
          <w:rFonts w:ascii="Times New Roman" w:hAnsi="Times New Roman" w:cs="宋体"/>
          <w:lang w:eastAsia="zh-Hans" w:bidi="ar"/>
        </w:rPr>
      </w:pPr>
      <w:r>
        <w:rPr>
          <w:rFonts w:hint="eastAsia" w:ascii="Times New Roman" w:hAnsi="Times New Roman" w:cs="宋体"/>
          <w:lang w:eastAsia="zh-Hans" w:bidi="ar"/>
        </w:rPr>
        <w:t>本法律意见书正本</w:t>
      </w:r>
      <w:r>
        <w:rPr>
          <w:rFonts w:hint="eastAsia" w:ascii="Times New Roman" w:hAnsi="Times New Roman" w:cs="宋体"/>
          <w:lang w:val="en-US" w:eastAsia="zh-Hans" w:bidi="ar"/>
        </w:rPr>
        <w:t>四</w:t>
      </w:r>
      <w:r>
        <w:rPr>
          <w:rFonts w:hint="eastAsia" w:ascii="Times New Roman" w:hAnsi="Times New Roman" w:cs="宋体"/>
          <w:lang w:eastAsia="zh-Hans" w:bidi="ar"/>
        </w:rPr>
        <w:t>份</w:t>
      </w:r>
      <w:r>
        <w:rPr>
          <w:rFonts w:ascii="Times New Roman" w:hAnsi="Times New Roman" w:cs="宋体"/>
          <w:lang w:eastAsia="zh-Hans" w:bidi="ar"/>
        </w:rPr>
        <w:t>。</w:t>
      </w:r>
    </w:p>
    <w:p>
      <w:pPr>
        <w:adjustRightInd w:val="0"/>
        <w:snapToGrid w:val="0"/>
        <w:ind w:firstLine="200" w:firstLineChars="0"/>
        <w:rPr>
          <w:rFonts w:ascii="Times New Roman" w:hAnsi="Times New Roman" w:cs="宋体"/>
          <w:lang w:eastAsia="zh-Hans" w:bidi="ar"/>
        </w:rPr>
      </w:pPr>
    </w:p>
    <w:p>
      <w:pPr>
        <w:adjustRightInd w:val="0"/>
        <w:snapToGrid w:val="0"/>
        <w:ind w:left="0" w:leftChars="0" w:firstLine="480" w:firstLineChars="200"/>
        <w:rPr>
          <w:rFonts w:ascii="Times New Roman" w:hAnsi="Times New Roman" w:cs="宋体"/>
          <w:lang w:eastAsia="zh-Hans" w:bidi="ar"/>
        </w:rPr>
      </w:pPr>
      <w:r>
        <w:rPr>
          <w:rFonts w:ascii="Times New Roman" w:hAnsi="Times New Roman" w:cs="宋体"/>
          <w:lang w:eastAsia="zh-Hans" w:bidi="ar"/>
        </w:rPr>
        <w:t>（</w:t>
      </w:r>
      <w:r>
        <w:rPr>
          <w:rFonts w:hint="eastAsia" w:ascii="Times New Roman" w:hAnsi="Times New Roman" w:cs="宋体"/>
          <w:lang w:eastAsia="zh-Hans" w:bidi="ar"/>
        </w:rPr>
        <w:t>以下无正文</w:t>
      </w:r>
      <w:r>
        <w:rPr>
          <w:rFonts w:ascii="Times New Roman" w:hAnsi="Times New Roman" w:cs="宋体"/>
          <w:lang w:eastAsia="zh-Hans" w:bidi="ar"/>
        </w:rPr>
        <w:t>）</w:t>
      </w:r>
    </w:p>
    <w:p>
      <w:pPr>
        <w:adjustRightInd w:val="0"/>
        <w:snapToGrid w:val="0"/>
        <w:ind w:firstLine="0" w:firstLineChars="0"/>
        <w:rPr>
          <w:rFonts w:ascii="Times New Roman" w:hAnsi="Times New Roman"/>
          <w:bCs/>
          <w:kern w:val="44"/>
          <w:szCs w:val="32"/>
        </w:rPr>
      </w:pPr>
    </w:p>
    <w:p>
      <w:pPr>
        <w:widowControl w:val="0"/>
        <w:adjustRightInd w:val="0"/>
        <w:snapToGrid w:val="0"/>
        <w:ind w:firstLine="360" w:firstLineChars="150"/>
        <w:rPr>
          <w:rFonts w:ascii="Times New Roman" w:hAnsi="Times New Roman"/>
          <w:bCs/>
          <w:kern w:val="44"/>
          <w:szCs w:val="32"/>
        </w:rPr>
      </w:pPr>
    </w:p>
    <w:p>
      <w:pPr>
        <w:widowControl w:val="0"/>
        <w:adjustRightInd w:val="0"/>
        <w:snapToGrid w:val="0"/>
        <w:ind w:firstLine="360" w:firstLineChars="150"/>
        <w:rPr>
          <w:rFonts w:ascii="Times New Roman" w:hAnsi="Times New Roman"/>
          <w:bCs/>
          <w:kern w:val="44"/>
          <w:szCs w:val="32"/>
        </w:rPr>
      </w:pPr>
    </w:p>
    <w:p>
      <w:pPr>
        <w:spacing w:line="240" w:lineRule="auto"/>
        <w:ind w:firstLine="0" w:firstLineChars="0"/>
        <w:jc w:val="left"/>
        <w:rPr>
          <w:rFonts w:ascii="Times New Roman" w:hAnsi="Times New Roman"/>
          <w:bCs/>
          <w:kern w:val="44"/>
          <w:szCs w:val="32"/>
        </w:rPr>
      </w:pPr>
      <w:r>
        <w:rPr>
          <w:rFonts w:ascii="Times New Roman" w:hAnsi="Times New Roman"/>
          <w:bCs/>
          <w:kern w:val="44"/>
          <w:szCs w:val="32"/>
        </w:rPr>
        <w:br w:type="page"/>
      </w:r>
    </w:p>
    <w:p>
      <w:pPr>
        <w:widowControl w:val="0"/>
        <w:adjustRightInd w:val="0"/>
        <w:snapToGrid w:val="0"/>
        <w:ind w:firstLine="360" w:firstLineChars="150"/>
        <w:rPr>
          <w:rFonts w:ascii="Times New Roman" w:hAnsi="Times New Roman"/>
          <w:bCs/>
          <w:kern w:val="44"/>
          <w:szCs w:val="32"/>
        </w:rPr>
      </w:pPr>
      <w:r>
        <w:rPr>
          <w:rFonts w:hint="eastAsia" w:ascii="Times New Roman" w:hAnsi="Times New Roman"/>
          <w:bCs/>
          <w:kern w:val="44"/>
          <w:szCs w:val="32"/>
        </w:rPr>
        <w:t>（本页无正文，为《北京市君泽君（上海）律师事务所关于华孚时尚股份有限公司</w:t>
      </w:r>
      <w:r>
        <w:rPr>
          <w:rFonts w:hint="eastAsia" w:ascii="Times New Roman" w:hAnsi="Times New Roman"/>
          <w:bCs/>
          <w:kern w:val="44"/>
          <w:szCs w:val="32"/>
          <w:lang w:val="en-US" w:eastAsia="zh-Hans"/>
        </w:rPr>
        <w:t>终止实施</w:t>
      </w:r>
      <w:r>
        <w:rPr>
          <w:rFonts w:ascii="Times New Roman" w:hAnsi="Times New Roman"/>
          <w:bCs/>
          <w:kern w:val="44"/>
          <w:szCs w:val="32"/>
        </w:rPr>
        <w:t>2021</w:t>
      </w:r>
      <w:r>
        <w:rPr>
          <w:rFonts w:hint="eastAsia" w:ascii="Times New Roman" w:hAnsi="Times New Roman"/>
          <w:bCs/>
          <w:kern w:val="44"/>
          <w:szCs w:val="32"/>
          <w:lang w:eastAsia="zh-Hans"/>
        </w:rPr>
        <w:t>年股票期权激励计划</w:t>
      </w:r>
      <w:r>
        <w:rPr>
          <w:rFonts w:hint="eastAsia" w:ascii="Times New Roman" w:hAnsi="Times New Roman"/>
          <w:bCs/>
          <w:kern w:val="44"/>
          <w:szCs w:val="32"/>
          <w:lang w:val="en-US" w:eastAsia="zh-Hans"/>
        </w:rPr>
        <w:t>并注销股票期权</w:t>
      </w:r>
      <w:r>
        <w:rPr>
          <w:rFonts w:hint="eastAsia" w:ascii="Times New Roman" w:hAnsi="Times New Roman"/>
          <w:bCs/>
          <w:kern w:val="44"/>
          <w:szCs w:val="32"/>
        </w:rPr>
        <w:t>的法律意见书》的签署页）</w:t>
      </w: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0" w:firstLineChars="0"/>
        <w:rPr>
          <w:rFonts w:ascii="Times New Roman" w:hAnsi="Times New Roman"/>
          <w:b/>
          <w:bCs/>
          <w:kern w:val="44"/>
          <w:szCs w:val="32"/>
        </w:rPr>
      </w:pPr>
      <w:r>
        <w:rPr>
          <w:rFonts w:hint="eastAsia" w:ascii="Times New Roman" w:hAnsi="Times New Roman"/>
          <w:b/>
          <w:bCs/>
          <w:kern w:val="44"/>
          <w:szCs w:val="32"/>
        </w:rPr>
        <w:t xml:space="preserve">北京市君泽君（上海）律师事务所 </w:t>
      </w: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482"/>
        <w:rPr>
          <w:rFonts w:ascii="Times New Roman" w:hAnsi="Times New Roman"/>
          <w:b/>
          <w:bCs/>
          <w:kern w:val="44"/>
          <w:szCs w:val="32"/>
        </w:rPr>
      </w:pPr>
    </w:p>
    <w:p>
      <w:pPr>
        <w:widowControl w:val="0"/>
        <w:adjustRightInd w:val="0"/>
        <w:snapToGrid w:val="0"/>
        <w:ind w:firstLine="0" w:firstLineChars="0"/>
        <w:rPr>
          <w:rFonts w:ascii="Times New Roman" w:hAnsi="Times New Roman"/>
          <w:kern w:val="44"/>
          <w:szCs w:val="32"/>
        </w:rPr>
      </w:pPr>
      <w:r>
        <w:rPr>
          <w:rFonts w:hint="eastAsia" w:ascii="Times New Roman" w:hAnsi="Times New Roman"/>
          <w:kern w:val="44"/>
          <w:szCs w:val="32"/>
          <w:lang w:eastAsia="zh-Hans"/>
        </w:rPr>
        <w:t>负责人</w:t>
      </w:r>
      <w:r>
        <w:rPr>
          <w:rFonts w:ascii="Times New Roman" w:hAnsi="Times New Roman"/>
          <w:kern w:val="44"/>
          <w:szCs w:val="32"/>
          <w:lang w:eastAsia="zh-Hans"/>
        </w:rPr>
        <w:t>：</w:t>
      </w:r>
      <w:r>
        <w:rPr>
          <w:rFonts w:ascii="Times New Roman" w:hAnsi="Times New Roman"/>
          <w:kern w:val="44"/>
          <w:szCs w:val="32"/>
        </w:rPr>
        <w:t xml:space="preserve">  </w:t>
      </w:r>
      <w:r>
        <w:rPr>
          <w:rFonts w:hint="eastAsia" w:ascii="Times New Roman" w:hAnsi="Times New Roman"/>
          <w:kern w:val="44"/>
          <w:szCs w:val="32"/>
          <w:u w:val="single"/>
        </w:rPr>
        <w:t xml:space="preserve"> </w:t>
      </w:r>
      <w:r>
        <w:rPr>
          <w:rFonts w:ascii="Times New Roman" w:hAnsi="Times New Roman"/>
          <w:kern w:val="44"/>
          <w:szCs w:val="32"/>
          <w:u w:val="single"/>
        </w:rPr>
        <w:t xml:space="preserve">           </w:t>
      </w:r>
    </w:p>
    <w:p>
      <w:pPr>
        <w:widowControl w:val="0"/>
        <w:adjustRightInd w:val="0"/>
        <w:snapToGrid w:val="0"/>
        <w:ind w:firstLine="0" w:firstLineChars="0"/>
        <w:rPr>
          <w:rFonts w:ascii="Times New Roman" w:hAnsi="Times New Roman"/>
          <w:kern w:val="44"/>
          <w:szCs w:val="32"/>
        </w:rPr>
      </w:pPr>
      <w:r>
        <w:rPr>
          <w:rFonts w:ascii="Times New Roman" w:hAnsi="Times New Roman"/>
          <w:kern w:val="44"/>
          <w:szCs w:val="32"/>
        </w:rPr>
        <w:t xml:space="preserve">             </w:t>
      </w:r>
      <w:r>
        <w:rPr>
          <w:rFonts w:hint="eastAsia" w:ascii="Times New Roman" w:hAnsi="Times New Roman"/>
          <w:kern w:val="44"/>
          <w:szCs w:val="32"/>
          <w:lang w:eastAsia="zh-Hans"/>
        </w:rPr>
        <w:t>刘文华</w:t>
      </w:r>
    </w:p>
    <w:p>
      <w:pPr>
        <w:widowControl w:val="0"/>
        <w:adjustRightInd w:val="0"/>
        <w:snapToGrid w:val="0"/>
        <w:ind w:firstLine="0" w:firstLineChars="0"/>
        <w:rPr>
          <w:rFonts w:ascii="Times New Roman" w:hAnsi="Times New Roman"/>
          <w:kern w:val="44"/>
          <w:szCs w:val="32"/>
        </w:rPr>
      </w:pPr>
      <w:r>
        <w:rPr>
          <w:rFonts w:ascii="Times New Roman" w:hAnsi="Times New Roman"/>
          <w:kern w:val="44"/>
          <w:szCs w:val="32"/>
        </w:rPr>
        <w:t xml:space="preserve">      </w:t>
      </w:r>
    </w:p>
    <w:p>
      <w:pPr>
        <w:widowControl w:val="0"/>
        <w:adjustRightInd w:val="0"/>
        <w:snapToGrid w:val="0"/>
        <w:ind w:firstLine="0" w:firstLineChars="0"/>
        <w:rPr>
          <w:rFonts w:ascii="Times New Roman" w:hAnsi="Times New Roman"/>
          <w:kern w:val="44"/>
          <w:szCs w:val="32"/>
        </w:rPr>
      </w:pPr>
    </w:p>
    <w:p>
      <w:pPr>
        <w:widowControl w:val="0"/>
        <w:wordWrap w:val="0"/>
        <w:adjustRightInd w:val="0"/>
        <w:snapToGrid w:val="0"/>
        <w:ind w:right="480" w:firstLine="0" w:firstLineChars="0"/>
        <w:jc w:val="right"/>
        <w:rPr>
          <w:rFonts w:ascii="Times New Roman" w:hAnsi="Times New Roman"/>
          <w:kern w:val="44"/>
          <w:szCs w:val="32"/>
        </w:rPr>
      </w:pPr>
      <w:r>
        <w:rPr>
          <w:rFonts w:hint="eastAsia" w:ascii="Times New Roman" w:hAnsi="Times New Roman"/>
          <w:kern w:val="44"/>
          <w:szCs w:val="32"/>
        </w:rPr>
        <w:t>经办律师：</w:t>
      </w:r>
      <w:r>
        <w:rPr>
          <w:rFonts w:hint="eastAsia" w:ascii="Times New Roman" w:hAnsi="Times New Roman"/>
          <w:kern w:val="44"/>
          <w:szCs w:val="32"/>
          <w:u w:val="single"/>
        </w:rPr>
        <w:t xml:space="preserve"> </w:t>
      </w:r>
      <w:r>
        <w:rPr>
          <w:rFonts w:ascii="Times New Roman" w:hAnsi="Times New Roman"/>
          <w:kern w:val="44"/>
          <w:szCs w:val="32"/>
          <w:u w:val="single"/>
        </w:rPr>
        <w:t xml:space="preserve">            </w:t>
      </w:r>
    </w:p>
    <w:p>
      <w:pPr>
        <w:widowControl w:val="0"/>
        <w:adjustRightInd w:val="0"/>
        <w:snapToGrid w:val="0"/>
        <w:ind w:right="840" w:firstLine="0" w:firstLineChars="0"/>
        <w:jc w:val="right"/>
        <w:rPr>
          <w:rFonts w:ascii="Times New Roman" w:hAnsi="Times New Roman"/>
          <w:kern w:val="44"/>
          <w:szCs w:val="32"/>
        </w:rPr>
      </w:pPr>
      <w:r>
        <w:rPr>
          <w:rFonts w:hint="eastAsia" w:ascii="Times New Roman" w:hAnsi="Times New Roman"/>
          <w:kern w:val="44"/>
          <w:szCs w:val="32"/>
        </w:rPr>
        <w:t>黄剑锋</w:t>
      </w:r>
    </w:p>
    <w:p>
      <w:pPr>
        <w:widowControl w:val="0"/>
        <w:adjustRightInd w:val="0"/>
        <w:snapToGrid w:val="0"/>
        <w:ind w:firstLine="0" w:firstLineChars="0"/>
        <w:jc w:val="right"/>
        <w:rPr>
          <w:rFonts w:ascii="Times New Roman" w:hAnsi="Times New Roman"/>
          <w:kern w:val="44"/>
          <w:szCs w:val="32"/>
        </w:rPr>
      </w:pPr>
    </w:p>
    <w:p>
      <w:pPr>
        <w:widowControl w:val="0"/>
        <w:adjustRightInd w:val="0"/>
        <w:snapToGrid w:val="0"/>
        <w:ind w:firstLine="0" w:firstLineChars="0"/>
        <w:jc w:val="right"/>
        <w:rPr>
          <w:rFonts w:ascii="Times New Roman" w:hAnsi="Times New Roman"/>
          <w:kern w:val="44"/>
          <w:szCs w:val="32"/>
        </w:rPr>
      </w:pPr>
    </w:p>
    <w:p>
      <w:pPr>
        <w:widowControl w:val="0"/>
        <w:wordWrap w:val="0"/>
        <w:adjustRightInd w:val="0"/>
        <w:snapToGrid w:val="0"/>
        <w:ind w:right="480" w:firstLine="0" w:firstLineChars="0"/>
        <w:jc w:val="right"/>
        <w:rPr>
          <w:rFonts w:ascii="Times New Roman" w:hAnsi="Times New Roman"/>
          <w:kern w:val="44"/>
          <w:szCs w:val="32"/>
        </w:rPr>
      </w:pPr>
      <w:r>
        <w:rPr>
          <w:rFonts w:hint="eastAsia" w:ascii="Times New Roman" w:hAnsi="Times New Roman"/>
          <w:kern w:val="44"/>
          <w:szCs w:val="32"/>
          <w:u w:val="single"/>
        </w:rPr>
        <w:t xml:space="preserve"> </w:t>
      </w:r>
      <w:r>
        <w:rPr>
          <w:rFonts w:ascii="Times New Roman" w:hAnsi="Times New Roman"/>
          <w:kern w:val="44"/>
          <w:szCs w:val="32"/>
          <w:u w:val="single"/>
        </w:rPr>
        <w:t xml:space="preserve">            </w:t>
      </w:r>
    </w:p>
    <w:p>
      <w:pPr>
        <w:widowControl w:val="0"/>
        <w:adjustRightInd w:val="0"/>
        <w:snapToGrid w:val="0"/>
        <w:ind w:right="480" w:firstLine="6720" w:firstLineChars="2800"/>
        <w:rPr>
          <w:rFonts w:ascii="Times New Roman" w:hAnsi="Times New Roman"/>
          <w:kern w:val="44"/>
          <w:szCs w:val="32"/>
        </w:rPr>
      </w:pPr>
      <w:r>
        <w:rPr>
          <w:rFonts w:hint="eastAsia" w:ascii="Times New Roman" w:hAnsi="Times New Roman"/>
          <w:kern w:val="44"/>
          <w:szCs w:val="32"/>
        </w:rPr>
        <w:t xml:space="preserve">刘 </w:t>
      </w:r>
      <w:r>
        <w:rPr>
          <w:rFonts w:ascii="Times New Roman" w:hAnsi="Times New Roman"/>
          <w:kern w:val="44"/>
          <w:szCs w:val="32"/>
        </w:rPr>
        <w:t xml:space="preserve"> </w:t>
      </w:r>
      <w:r>
        <w:rPr>
          <w:rFonts w:hint="eastAsia" w:ascii="Times New Roman" w:hAnsi="Times New Roman"/>
          <w:kern w:val="44"/>
          <w:szCs w:val="32"/>
        </w:rPr>
        <w:t>芳</w:t>
      </w:r>
    </w:p>
    <w:p>
      <w:pPr>
        <w:widowControl w:val="0"/>
        <w:adjustRightInd w:val="0"/>
        <w:snapToGrid w:val="0"/>
        <w:ind w:firstLine="0" w:firstLineChars="0"/>
        <w:jc w:val="right"/>
        <w:rPr>
          <w:rFonts w:ascii="Times New Roman" w:hAnsi="Times New Roman"/>
          <w:kern w:val="44"/>
          <w:szCs w:val="32"/>
        </w:rPr>
      </w:pPr>
    </w:p>
    <w:p>
      <w:pPr>
        <w:widowControl w:val="0"/>
        <w:adjustRightInd w:val="0"/>
        <w:snapToGrid w:val="0"/>
        <w:ind w:firstLine="0" w:firstLineChars="0"/>
        <w:jc w:val="right"/>
        <w:rPr>
          <w:rFonts w:ascii="Times New Roman" w:hAnsi="Times New Roman"/>
          <w:kern w:val="44"/>
          <w:szCs w:val="32"/>
        </w:rPr>
      </w:pPr>
    </w:p>
    <w:p>
      <w:pPr>
        <w:widowControl w:val="0"/>
        <w:adjustRightInd w:val="0"/>
        <w:snapToGrid w:val="0"/>
        <w:ind w:right="480" w:firstLine="0" w:firstLineChars="0"/>
        <w:rPr>
          <w:rFonts w:ascii="Times New Roman" w:hAnsi="Times New Roman"/>
          <w:kern w:val="44"/>
          <w:szCs w:val="32"/>
        </w:rPr>
      </w:pPr>
      <w:r>
        <w:rPr>
          <w:rFonts w:hint="eastAsia" w:ascii="Times New Roman" w:hAnsi="Times New Roman"/>
          <w:kern w:val="44"/>
          <w:szCs w:val="32"/>
        </w:rPr>
        <w:t xml:space="preserve"> </w:t>
      </w:r>
      <w:r>
        <w:rPr>
          <w:rFonts w:ascii="Times New Roman" w:hAnsi="Times New Roman"/>
          <w:kern w:val="44"/>
          <w:szCs w:val="32"/>
        </w:rPr>
        <w:t xml:space="preserve">                                </w:t>
      </w:r>
      <w:r>
        <w:rPr>
          <w:rFonts w:hint="eastAsia" w:ascii="Times New Roman" w:hAnsi="Times New Roman"/>
          <w:kern w:val="44"/>
          <w:szCs w:val="32"/>
        </w:rPr>
        <w:t xml:space="preserve">            </w:t>
      </w:r>
      <w:r>
        <w:rPr>
          <w:rFonts w:ascii="Times New Roman" w:hAnsi="Times New Roman"/>
          <w:kern w:val="44"/>
          <w:szCs w:val="32"/>
        </w:rPr>
        <w:t xml:space="preserve">        </w:t>
      </w:r>
      <w:r>
        <w:rPr>
          <w:rFonts w:hint="eastAsia" w:ascii="Times New Roman" w:hAnsi="Times New Roman"/>
          <w:kern w:val="44"/>
          <w:szCs w:val="32"/>
          <w:u w:val="single"/>
        </w:rPr>
        <w:t xml:space="preserve"> </w:t>
      </w:r>
      <w:r>
        <w:rPr>
          <w:rFonts w:ascii="Times New Roman" w:hAnsi="Times New Roman"/>
          <w:kern w:val="44"/>
          <w:szCs w:val="32"/>
          <w:u w:val="single"/>
        </w:rPr>
        <w:t xml:space="preserve">            </w:t>
      </w:r>
    </w:p>
    <w:p>
      <w:pPr>
        <w:widowControl w:val="0"/>
        <w:adjustRightInd w:val="0"/>
        <w:snapToGrid w:val="0"/>
        <w:ind w:firstLine="0" w:firstLineChars="0"/>
        <w:rPr>
          <w:rFonts w:ascii="Times New Roman" w:hAnsi="Times New Roman"/>
          <w:kern w:val="44"/>
          <w:szCs w:val="32"/>
        </w:rPr>
      </w:pPr>
      <w:r>
        <w:rPr>
          <w:rFonts w:ascii="Times New Roman" w:hAnsi="Times New Roman"/>
          <w:kern w:val="44"/>
          <w:szCs w:val="32"/>
        </w:rPr>
        <w:t xml:space="preserve">                                                         </w:t>
      </w:r>
      <w:r>
        <w:rPr>
          <w:rFonts w:hint="eastAsia" w:ascii="Times New Roman" w:hAnsi="Times New Roman"/>
          <w:kern w:val="44"/>
          <w:szCs w:val="32"/>
          <w:lang w:eastAsia="zh-Hans"/>
        </w:rPr>
        <w:t>阮涯分</w:t>
      </w:r>
      <w:r>
        <w:rPr>
          <w:rFonts w:ascii="Times New Roman" w:hAnsi="Times New Roman"/>
          <w:kern w:val="44"/>
          <w:szCs w:val="32"/>
        </w:rPr>
        <w:t xml:space="preserve">             </w:t>
      </w: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0" w:firstLineChars="0"/>
        <w:rPr>
          <w:rFonts w:ascii="Times New Roman" w:hAnsi="Times New Roman"/>
          <w:b/>
          <w:bCs/>
          <w:kern w:val="44"/>
          <w:szCs w:val="32"/>
        </w:rPr>
      </w:pPr>
    </w:p>
    <w:p>
      <w:pPr>
        <w:widowControl w:val="0"/>
        <w:adjustRightInd w:val="0"/>
        <w:snapToGrid w:val="0"/>
        <w:ind w:firstLine="0" w:firstLineChars="0"/>
        <w:jc w:val="right"/>
        <w:rPr>
          <w:rFonts w:ascii="Times New Roman" w:hAnsi="Times New Roman"/>
          <w:b/>
          <w:bCs/>
          <w:kern w:val="44"/>
          <w:szCs w:val="32"/>
        </w:rPr>
      </w:pPr>
      <w:r>
        <w:rPr>
          <w:rFonts w:hint="eastAsia" w:ascii="Times New Roman" w:hAnsi="Times New Roman"/>
          <w:b/>
          <w:bCs/>
          <w:kern w:val="44"/>
          <w:szCs w:val="32"/>
        </w:rPr>
        <w:t>年</w:t>
      </w:r>
      <w:r>
        <w:rPr>
          <w:rFonts w:ascii="Times New Roman" w:hAnsi="Times New Roman"/>
          <w:b/>
          <w:bCs/>
          <w:kern w:val="44"/>
          <w:szCs w:val="32"/>
        </w:rPr>
        <w:t xml:space="preserve">     </w:t>
      </w:r>
      <w:r>
        <w:rPr>
          <w:rFonts w:hint="eastAsia" w:ascii="Times New Roman" w:hAnsi="Times New Roman"/>
          <w:b/>
          <w:bCs/>
          <w:kern w:val="44"/>
          <w:szCs w:val="32"/>
        </w:rPr>
        <w:t>月    日</w:t>
      </w:r>
    </w:p>
    <w:sectPr>
      <w:footerReference r:id="rId12" w:type="first"/>
      <w:footerReference r:id="rId11" w:type="default"/>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Wingdings-Regular">
    <w:panose1 w:val="05000000000000000000"/>
    <w:charset w:val="02"/>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DejaVu Sans">
    <w:altName w:val="苹方-简"/>
    <w:panose1 w:val="020B0604020202020204"/>
    <w:charset w:val="00"/>
    <w:family w:val="auto"/>
    <w:pitch w:val="default"/>
    <w:sig w:usb0="00000000" w:usb1="00000000" w:usb2="00000000" w:usb3="00000000" w:csb0="00000000" w:csb1="00000000"/>
  </w:font>
  <w:font w:name="@宋体">
    <w:altName w:val="汉仪书宋二KW"/>
    <w:panose1 w:val="02010600030101010101"/>
    <w:charset w:val="86"/>
    <w:family w:val="auto"/>
    <w:pitch w:val="variable"/>
    <w:sig w:usb0="00000203" w:usb1="288F0000" w:usb2="00000016" w:usb3="00000000" w:csb0="00040001" w:csb1="00000000"/>
  </w:font>
  <w:font w:name="Liberation Serif">
    <w:altName w:val="苹方-简"/>
    <w:panose1 w:val="020B0604020202020204"/>
    <w:charset w:val="01"/>
    <w:family w:val="auto"/>
    <w:pitch w:val="default"/>
    <w:sig w:usb0="00000000" w:usb1="00000000" w:usb2="00000000" w:usb3="00000000" w:csb0="00000000" w:csb1="00000000"/>
  </w:font>
  <w:font w:name="Cambria Math">
    <w:altName w:val="Kingsoft Math"/>
    <w:panose1 w:val="02040503050406030204"/>
    <w:charset w:val="00"/>
    <w:family w:val="auto"/>
    <w:pitch w:val="variable"/>
    <w:sig w:usb0="E00002FF" w:usb1="420024FF" w:usb2="0000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560004"/>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0" w:firstLineChars="0"/>
      <w:jc w:val="both"/>
      <w:rPr>
        <w:rFonts w:ascii="楷体" w:hAnsi="楷体"/>
        <w:color w:val="000000"/>
      </w:rPr>
    </w:pPr>
    <w:r>
      <w:rPr>
        <w:rFonts w:ascii="楷体" w:hAnsi="楷体"/>
        <w:color w:val="000000"/>
      </w:rPr>
      <w:drawing>
        <wp:inline distT="0" distB="0" distL="0" distR="0">
          <wp:extent cx="2005965" cy="457200"/>
          <wp:effectExtent l="0" t="0" r="635" b="0"/>
          <wp:docPr id="9" name="图片 9"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5965" cy="457200"/>
                  </a:xfrm>
                  <a:prstGeom prst="rect">
                    <a:avLst/>
                  </a:prstGeom>
                  <a:noFill/>
                  <a:ln>
                    <a:noFill/>
                  </a:ln>
                </pic:spPr>
              </pic:pic>
            </a:graphicData>
          </a:graphic>
        </wp:inline>
      </w:drawing>
    </w:r>
    <w:r>
      <w:rPr>
        <w:rFonts w:hint="eastAsia" w:ascii="楷体" w:hAnsi="楷体"/>
        <w:color w:val="000000"/>
      </w:rPr>
      <w:t xml:space="preserve">                     </w:t>
    </w:r>
    <w:r>
      <w:rPr>
        <w:rFonts w:ascii="楷体" w:hAnsi="楷体"/>
        <w:color w:val="000000"/>
      </w:rPr>
      <w:t xml:space="preserve">    </w:t>
    </w:r>
    <w:r>
      <w:rPr>
        <w:rFonts w:hint="eastAsia" w:ascii="楷体" w:hAnsi="楷体"/>
        <w:color w:val="000000"/>
      </w:rPr>
      <w:t xml:space="preserve">              </w:t>
    </w:r>
    <w:r>
      <w:rPr>
        <w:rFonts w:ascii="楷体" w:hAnsi="楷体"/>
        <w:color w:val="000000"/>
      </w:rPr>
      <w:t xml:space="preserve">     </w:t>
    </w:r>
    <w:r>
      <w:rPr>
        <w:rFonts w:hint="eastAsia"/>
      </w:rPr>
      <w:t>法律意见书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7A"/>
    <w:rsid w:val="000009CF"/>
    <w:rsid w:val="00005594"/>
    <w:rsid w:val="0001086B"/>
    <w:rsid w:val="000109DA"/>
    <w:rsid w:val="0001315F"/>
    <w:rsid w:val="000148AD"/>
    <w:rsid w:val="00015901"/>
    <w:rsid w:val="000169A3"/>
    <w:rsid w:val="00017D9A"/>
    <w:rsid w:val="000201E5"/>
    <w:rsid w:val="000269D8"/>
    <w:rsid w:val="00030015"/>
    <w:rsid w:val="00035BA9"/>
    <w:rsid w:val="000412CF"/>
    <w:rsid w:val="00041CBC"/>
    <w:rsid w:val="00042FF6"/>
    <w:rsid w:val="00043A36"/>
    <w:rsid w:val="00044E6A"/>
    <w:rsid w:val="00046C78"/>
    <w:rsid w:val="00051AE2"/>
    <w:rsid w:val="00053CDB"/>
    <w:rsid w:val="000561FE"/>
    <w:rsid w:val="00056561"/>
    <w:rsid w:val="00062F87"/>
    <w:rsid w:val="000701BA"/>
    <w:rsid w:val="0007094B"/>
    <w:rsid w:val="00071644"/>
    <w:rsid w:val="00072924"/>
    <w:rsid w:val="00073028"/>
    <w:rsid w:val="0007661A"/>
    <w:rsid w:val="00082DC9"/>
    <w:rsid w:val="00082F5A"/>
    <w:rsid w:val="0008390C"/>
    <w:rsid w:val="00090204"/>
    <w:rsid w:val="000914BE"/>
    <w:rsid w:val="00094B48"/>
    <w:rsid w:val="00096B59"/>
    <w:rsid w:val="000972C9"/>
    <w:rsid w:val="00097514"/>
    <w:rsid w:val="000A5371"/>
    <w:rsid w:val="000A75DE"/>
    <w:rsid w:val="000B1456"/>
    <w:rsid w:val="000B2993"/>
    <w:rsid w:val="000B2F19"/>
    <w:rsid w:val="000B560E"/>
    <w:rsid w:val="000B56F6"/>
    <w:rsid w:val="000B5EC4"/>
    <w:rsid w:val="000C23FC"/>
    <w:rsid w:val="000C60B0"/>
    <w:rsid w:val="000C6154"/>
    <w:rsid w:val="000C7D02"/>
    <w:rsid w:val="000D0EC1"/>
    <w:rsid w:val="000D193F"/>
    <w:rsid w:val="000D25E1"/>
    <w:rsid w:val="000D2D4F"/>
    <w:rsid w:val="000D3840"/>
    <w:rsid w:val="000D4A70"/>
    <w:rsid w:val="000D54C4"/>
    <w:rsid w:val="000D658A"/>
    <w:rsid w:val="000E0640"/>
    <w:rsid w:val="000E17C8"/>
    <w:rsid w:val="000F150F"/>
    <w:rsid w:val="000F1A54"/>
    <w:rsid w:val="000F5009"/>
    <w:rsid w:val="000F7F0D"/>
    <w:rsid w:val="00101B32"/>
    <w:rsid w:val="001023C0"/>
    <w:rsid w:val="00113A0E"/>
    <w:rsid w:val="00116828"/>
    <w:rsid w:val="00117802"/>
    <w:rsid w:val="00123DAC"/>
    <w:rsid w:val="00127DAA"/>
    <w:rsid w:val="001302AD"/>
    <w:rsid w:val="001320A3"/>
    <w:rsid w:val="001322C3"/>
    <w:rsid w:val="00132414"/>
    <w:rsid w:val="00132A23"/>
    <w:rsid w:val="00133239"/>
    <w:rsid w:val="00134DC3"/>
    <w:rsid w:val="00135196"/>
    <w:rsid w:val="001372FA"/>
    <w:rsid w:val="00140E46"/>
    <w:rsid w:val="0014171D"/>
    <w:rsid w:val="001425A7"/>
    <w:rsid w:val="00143047"/>
    <w:rsid w:val="00151429"/>
    <w:rsid w:val="00152B76"/>
    <w:rsid w:val="00161651"/>
    <w:rsid w:val="00163C8B"/>
    <w:rsid w:val="00164606"/>
    <w:rsid w:val="001707C1"/>
    <w:rsid w:val="00170933"/>
    <w:rsid w:val="00171BA9"/>
    <w:rsid w:val="00174F53"/>
    <w:rsid w:val="00175B1D"/>
    <w:rsid w:val="00175F13"/>
    <w:rsid w:val="00176C15"/>
    <w:rsid w:val="00177889"/>
    <w:rsid w:val="00181D11"/>
    <w:rsid w:val="00183FDD"/>
    <w:rsid w:val="00187CBB"/>
    <w:rsid w:val="00193699"/>
    <w:rsid w:val="00195355"/>
    <w:rsid w:val="001A03E2"/>
    <w:rsid w:val="001A4469"/>
    <w:rsid w:val="001A6B41"/>
    <w:rsid w:val="001A7373"/>
    <w:rsid w:val="001A7C7F"/>
    <w:rsid w:val="001B0C8D"/>
    <w:rsid w:val="001B1DCD"/>
    <w:rsid w:val="001B528C"/>
    <w:rsid w:val="001C197D"/>
    <w:rsid w:val="001C29E6"/>
    <w:rsid w:val="001C3CEF"/>
    <w:rsid w:val="001C4355"/>
    <w:rsid w:val="001C7BFF"/>
    <w:rsid w:val="001D088A"/>
    <w:rsid w:val="001D1B3D"/>
    <w:rsid w:val="001D208B"/>
    <w:rsid w:val="001D2707"/>
    <w:rsid w:val="001D33A3"/>
    <w:rsid w:val="001D367F"/>
    <w:rsid w:val="001D5534"/>
    <w:rsid w:val="001D5EED"/>
    <w:rsid w:val="001E0FCC"/>
    <w:rsid w:val="001E13F3"/>
    <w:rsid w:val="001E3B37"/>
    <w:rsid w:val="001E5924"/>
    <w:rsid w:val="001E70C8"/>
    <w:rsid w:val="001E7B38"/>
    <w:rsid w:val="001F0A7A"/>
    <w:rsid w:val="001F2487"/>
    <w:rsid w:val="001F3CAF"/>
    <w:rsid w:val="001F435B"/>
    <w:rsid w:val="001F52C8"/>
    <w:rsid w:val="002012E9"/>
    <w:rsid w:val="00202B68"/>
    <w:rsid w:val="0020716B"/>
    <w:rsid w:val="00212BD4"/>
    <w:rsid w:val="00212D20"/>
    <w:rsid w:val="00214FB9"/>
    <w:rsid w:val="00215204"/>
    <w:rsid w:val="00216E48"/>
    <w:rsid w:val="00216F3D"/>
    <w:rsid w:val="002178FE"/>
    <w:rsid w:val="002218C8"/>
    <w:rsid w:val="00224406"/>
    <w:rsid w:val="0022751C"/>
    <w:rsid w:val="002305EA"/>
    <w:rsid w:val="0023186F"/>
    <w:rsid w:val="0023216F"/>
    <w:rsid w:val="00232C94"/>
    <w:rsid w:val="002336AB"/>
    <w:rsid w:val="00233A63"/>
    <w:rsid w:val="00254970"/>
    <w:rsid w:val="0025743E"/>
    <w:rsid w:val="00260768"/>
    <w:rsid w:val="002662F5"/>
    <w:rsid w:val="0027083C"/>
    <w:rsid w:val="00270C06"/>
    <w:rsid w:val="002748FC"/>
    <w:rsid w:val="00277D9A"/>
    <w:rsid w:val="002800F9"/>
    <w:rsid w:val="00283936"/>
    <w:rsid w:val="00286D1B"/>
    <w:rsid w:val="00287CFE"/>
    <w:rsid w:val="00290A73"/>
    <w:rsid w:val="00291544"/>
    <w:rsid w:val="0029399D"/>
    <w:rsid w:val="00293A11"/>
    <w:rsid w:val="0029414A"/>
    <w:rsid w:val="0029594C"/>
    <w:rsid w:val="00296CAD"/>
    <w:rsid w:val="00297137"/>
    <w:rsid w:val="00297AE5"/>
    <w:rsid w:val="002A049B"/>
    <w:rsid w:val="002A6853"/>
    <w:rsid w:val="002A687C"/>
    <w:rsid w:val="002A7425"/>
    <w:rsid w:val="002A7E46"/>
    <w:rsid w:val="002B1DC0"/>
    <w:rsid w:val="002B3826"/>
    <w:rsid w:val="002B4339"/>
    <w:rsid w:val="002C1AD1"/>
    <w:rsid w:val="002C21B3"/>
    <w:rsid w:val="002D25C8"/>
    <w:rsid w:val="002D453E"/>
    <w:rsid w:val="002D4744"/>
    <w:rsid w:val="002D6FD7"/>
    <w:rsid w:val="002E1736"/>
    <w:rsid w:val="002E5C65"/>
    <w:rsid w:val="002F2D02"/>
    <w:rsid w:val="002F3EC0"/>
    <w:rsid w:val="002F4210"/>
    <w:rsid w:val="002F56ED"/>
    <w:rsid w:val="002F6A7F"/>
    <w:rsid w:val="00300DFC"/>
    <w:rsid w:val="00301F5E"/>
    <w:rsid w:val="00304A03"/>
    <w:rsid w:val="00304A48"/>
    <w:rsid w:val="00307337"/>
    <w:rsid w:val="003110AF"/>
    <w:rsid w:val="00311BA4"/>
    <w:rsid w:val="003121F1"/>
    <w:rsid w:val="00312C7A"/>
    <w:rsid w:val="00313856"/>
    <w:rsid w:val="00317615"/>
    <w:rsid w:val="00317D6C"/>
    <w:rsid w:val="00322D3A"/>
    <w:rsid w:val="003233A8"/>
    <w:rsid w:val="00323CFC"/>
    <w:rsid w:val="00323D8C"/>
    <w:rsid w:val="003261C0"/>
    <w:rsid w:val="00326C61"/>
    <w:rsid w:val="00332B0E"/>
    <w:rsid w:val="003345E2"/>
    <w:rsid w:val="00336170"/>
    <w:rsid w:val="0033659B"/>
    <w:rsid w:val="00337C51"/>
    <w:rsid w:val="0034490B"/>
    <w:rsid w:val="00344DEB"/>
    <w:rsid w:val="003452E9"/>
    <w:rsid w:val="003474E5"/>
    <w:rsid w:val="0035029D"/>
    <w:rsid w:val="00350BA4"/>
    <w:rsid w:val="003536F1"/>
    <w:rsid w:val="00355579"/>
    <w:rsid w:val="00357901"/>
    <w:rsid w:val="003579D6"/>
    <w:rsid w:val="00357B3F"/>
    <w:rsid w:val="00362AA6"/>
    <w:rsid w:val="00363909"/>
    <w:rsid w:val="00364667"/>
    <w:rsid w:val="0036624A"/>
    <w:rsid w:val="003708ED"/>
    <w:rsid w:val="00371680"/>
    <w:rsid w:val="003723EF"/>
    <w:rsid w:val="00374478"/>
    <w:rsid w:val="003748A7"/>
    <w:rsid w:val="0037563C"/>
    <w:rsid w:val="0037729E"/>
    <w:rsid w:val="003802D0"/>
    <w:rsid w:val="00382C20"/>
    <w:rsid w:val="00383DDA"/>
    <w:rsid w:val="00384EFD"/>
    <w:rsid w:val="00387532"/>
    <w:rsid w:val="00390DBC"/>
    <w:rsid w:val="003918F1"/>
    <w:rsid w:val="00396AE0"/>
    <w:rsid w:val="003978AF"/>
    <w:rsid w:val="003A1CA5"/>
    <w:rsid w:val="003A2412"/>
    <w:rsid w:val="003A3515"/>
    <w:rsid w:val="003A55EA"/>
    <w:rsid w:val="003A6151"/>
    <w:rsid w:val="003A6355"/>
    <w:rsid w:val="003A63B9"/>
    <w:rsid w:val="003A78D3"/>
    <w:rsid w:val="003B5C16"/>
    <w:rsid w:val="003C45FC"/>
    <w:rsid w:val="003C675B"/>
    <w:rsid w:val="003C759E"/>
    <w:rsid w:val="003C7673"/>
    <w:rsid w:val="003C7C45"/>
    <w:rsid w:val="003D23A8"/>
    <w:rsid w:val="003D2CAA"/>
    <w:rsid w:val="003D6222"/>
    <w:rsid w:val="003D7BF3"/>
    <w:rsid w:val="003F0264"/>
    <w:rsid w:val="003F1151"/>
    <w:rsid w:val="003F1819"/>
    <w:rsid w:val="003F4A21"/>
    <w:rsid w:val="003F6234"/>
    <w:rsid w:val="003F6FD6"/>
    <w:rsid w:val="00411CBB"/>
    <w:rsid w:val="004133F1"/>
    <w:rsid w:val="00414A52"/>
    <w:rsid w:val="00415A0A"/>
    <w:rsid w:val="00415AE9"/>
    <w:rsid w:val="00416813"/>
    <w:rsid w:val="004205A5"/>
    <w:rsid w:val="004210D5"/>
    <w:rsid w:val="00421223"/>
    <w:rsid w:val="00421315"/>
    <w:rsid w:val="00421D9E"/>
    <w:rsid w:val="00422663"/>
    <w:rsid w:val="00423071"/>
    <w:rsid w:val="00427C65"/>
    <w:rsid w:val="00432994"/>
    <w:rsid w:val="00433219"/>
    <w:rsid w:val="00433AB4"/>
    <w:rsid w:val="00434E5B"/>
    <w:rsid w:val="00437D08"/>
    <w:rsid w:val="00442C7E"/>
    <w:rsid w:val="00442E8D"/>
    <w:rsid w:val="00447CDE"/>
    <w:rsid w:val="004511EE"/>
    <w:rsid w:val="0045500A"/>
    <w:rsid w:val="00456BA8"/>
    <w:rsid w:val="004608C1"/>
    <w:rsid w:val="00463503"/>
    <w:rsid w:val="00464FA4"/>
    <w:rsid w:val="00465401"/>
    <w:rsid w:val="004656A5"/>
    <w:rsid w:val="004717F2"/>
    <w:rsid w:val="00471B4A"/>
    <w:rsid w:val="00472543"/>
    <w:rsid w:val="00472B31"/>
    <w:rsid w:val="00474B09"/>
    <w:rsid w:val="00477209"/>
    <w:rsid w:val="00477390"/>
    <w:rsid w:val="00477F28"/>
    <w:rsid w:val="0048076B"/>
    <w:rsid w:val="00480B95"/>
    <w:rsid w:val="00481635"/>
    <w:rsid w:val="004833B0"/>
    <w:rsid w:val="004847E3"/>
    <w:rsid w:val="0048554C"/>
    <w:rsid w:val="0048685A"/>
    <w:rsid w:val="004876D6"/>
    <w:rsid w:val="00491DF2"/>
    <w:rsid w:val="00497E95"/>
    <w:rsid w:val="004A1E2C"/>
    <w:rsid w:val="004B66DE"/>
    <w:rsid w:val="004C435C"/>
    <w:rsid w:val="004C4382"/>
    <w:rsid w:val="004C5134"/>
    <w:rsid w:val="004D11E0"/>
    <w:rsid w:val="004D138B"/>
    <w:rsid w:val="004D4756"/>
    <w:rsid w:val="004D4B6A"/>
    <w:rsid w:val="004D5CE5"/>
    <w:rsid w:val="004E2BB0"/>
    <w:rsid w:val="004E2D16"/>
    <w:rsid w:val="004E5897"/>
    <w:rsid w:val="004F4048"/>
    <w:rsid w:val="004F58BE"/>
    <w:rsid w:val="004F74D9"/>
    <w:rsid w:val="004F75C8"/>
    <w:rsid w:val="004F77B3"/>
    <w:rsid w:val="00501C1A"/>
    <w:rsid w:val="00501D51"/>
    <w:rsid w:val="0050492D"/>
    <w:rsid w:val="0050671E"/>
    <w:rsid w:val="00507929"/>
    <w:rsid w:val="00510216"/>
    <w:rsid w:val="005114A3"/>
    <w:rsid w:val="005145C2"/>
    <w:rsid w:val="00514C5A"/>
    <w:rsid w:val="00515620"/>
    <w:rsid w:val="00516B17"/>
    <w:rsid w:val="005207D9"/>
    <w:rsid w:val="00522C86"/>
    <w:rsid w:val="00527CCA"/>
    <w:rsid w:val="00530255"/>
    <w:rsid w:val="0053046B"/>
    <w:rsid w:val="00531802"/>
    <w:rsid w:val="00531971"/>
    <w:rsid w:val="00532A26"/>
    <w:rsid w:val="0053517A"/>
    <w:rsid w:val="00536016"/>
    <w:rsid w:val="005410FB"/>
    <w:rsid w:val="00541621"/>
    <w:rsid w:val="00542A24"/>
    <w:rsid w:val="00543CD1"/>
    <w:rsid w:val="005448BE"/>
    <w:rsid w:val="005448E2"/>
    <w:rsid w:val="00544E25"/>
    <w:rsid w:val="00545326"/>
    <w:rsid w:val="00547120"/>
    <w:rsid w:val="00547286"/>
    <w:rsid w:val="00556FE3"/>
    <w:rsid w:val="005573DE"/>
    <w:rsid w:val="0056133B"/>
    <w:rsid w:val="00562A2A"/>
    <w:rsid w:val="00562DF3"/>
    <w:rsid w:val="00563C37"/>
    <w:rsid w:val="00564F28"/>
    <w:rsid w:val="00565C12"/>
    <w:rsid w:val="00571733"/>
    <w:rsid w:val="005724B7"/>
    <w:rsid w:val="00575F50"/>
    <w:rsid w:val="00577080"/>
    <w:rsid w:val="00581000"/>
    <w:rsid w:val="00581372"/>
    <w:rsid w:val="00581D39"/>
    <w:rsid w:val="005823CE"/>
    <w:rsid w:val="00585A17"/>
    <w:rsid w:val="00585EAE"/>
    <w:rsid w:val="00594E45"/>
    <w:rsid w:val="00595760"/>
    <w:rsid w:val="005A0613"/>
    <w:rsid w:val="005A0A16"/>
    <w:rsid w:val="005A2C32"/>
    <w:rsid w:val="005A5ED1"/>
    <w:rsid w:val="005A6A64"/>
    <w:rsid w:val="005A6EC3"/>
    <w:rsid w:val="005A729D"/>
    <w:rsid w:val="005B0696"/>
    <w:rsid w:val="005B1896"/>
    <w:rsid w:val="005B3B74"/>
    <w:rsid w:val="005B441B"/>
    <w:rsid w:val="005B7A40"/>
    <w:rsid w:val="005C33B1"/>
    <w:rsid w:val="005C3CA0"/>
    <w:rsid w:val="005C3E15"/>
    <w:rsid w:val="005C4A32"/>
    <w:rsid w:val="005C5EB3"/>
    <w:rsid w:val="005C6FD3"/>
    <w:rsid w:val="005C78A3"/>
    <w:rsid w:val="005D0AB8"/>
    <w:rsid w:val="005D4C21"/>
    <w:rsid w:val="005D4C7D"/>
    <w:rsid w:val="005D4DAF"/>
    <w:rsid w:val="005D632E"/>
    <w:rsid w:val="005E1DF2"/>
    <w:rsid w:val="005F1CB4"/>
    <w:rsid w:val="005F564F"/>
    <w:rsid w:val="00602866"/>
    <w:rsid w:val="00602EEE"/>
    <w:rsid w:val="006051C5"/>
    <w:rsid w:val="00607474"/>
    <w:rsid w:val="00610418"/>
    <w:rsid w:val="00613BF5"/>
    <w:rsid w:val="00616EBF"/>
    <w:rsid w:val="00617354"/>
    <w:rsid w:val="00624093"/>
    <w:rsid w:val="00624B8F"/>
    <w:rsid w:val="00632C8D"/>
    <w:rsid w:val="00634842"/>
    <w:rsid w:val="00635048"/>
    <w:rsid w:val="0063547A"/>
    <w:rsid w:val="00635CFC"/>
    <w:rsid w:val="00635D41"/>
    <w:rsid w:val="00636401"/>
    <w:rsid w:val="0064020B"/>
    <w:rsid w:val="006414EC"/>
    <w:rsid w:val="00642249"/>
    <w:rsid w:val="006428A9"/>
    <w:rsid w:val="00642CCB"/>
    <w:rsid w:val="00643ED2"/>
    <w:rsid w:val="00644698"/>
    <w:rsid w:val="0065067D"/>
    <w:rsid w:val="00651857"/>
    <w:rsid w:val="00651DD9"/>
    <w:rsid w:val="00656A86"/>
    <w:rsid w:val="00657511"/>
    <w:rsid w:val="00657EC9"/>
    <w:rsid w:val="00663437"/>
    <w:rsid w:val="00663FE8"/>
    <w:rsid w:val="0066455B"/>
    <w:rsid w:val="00664DF6"/>
    <w:rsid w:val="00665B6B"/>
    <w:rsid w:val="006668E3"/>
    <w:rsid w:val="0066737A"/>
    <w:rsid w:val="00672B93"/>
    <w:rsid w:val="006732BD"/>
    <w:rsid w:val="0067675D"/>
    <w:rsid w:val="00677505"/>
    <w:rsid w:val="0067760D"/>
    <w:rsid w:val="00680884"/>
    <w:rsid w:val="00680F51"/>
    <w:rsid w:val="006812B0"/>
    <w:rsid w:val="00681CFD"/>
    <w:rsid w:val="00683A4F"/>
    <w:rsid w:val="00683C6B"/>
    <w:rsid w:val="006879F8"/>
    <w:rsid w:val="0069235F"/>
    <w:rsid w:val="0069787D"/>
    <w:rsid w:val="006A018C"/>
    <w:rsid w:val="006A0969"/>
    <w:rsid w:val="006A57B6"/>
    <w:rsid w:val="006A67C4"/>
    <w:rsid w:val="006A6970"/>
    <w:rsid w:val="006A6E77"/>
    <w:rsid w:val="006A6FBC"/>
    <w:rsid w:val="006B0AEC"/>
    <w:rsid w:val="006B3638"/>
    <w:rsid w:val="006B4396"/>
    <w:rsid w:val="006B43D3"/>
    <w:rsid w:val="006B4D67"/>
    <w:rsid w:val="006B6D71"/>
    <w:rsid w:val="006C11A8"/>
    <w:rsid w:val="006C3617"/>
    <w:rsid w:val="006C3E4B"/>
    <w:rsid w:val="006D409B"/>
    <w:rsid w:val="006D633A"/>
    <w:rsid w:val="006E0999"/>
    <w:rsid w:val="006E18AA"/>
    <w:rsid w:val="006E4463"/>
    <w:rsid w:val="006E460C"/>
    <w:rsid w:val="006E54E3"/>
    <w:rsid w:val="006E62A0"/>
    <w:rsid w:val="006F4410"/>
    <w:rsid w:val="006F5C8E"/>
    <w:rsid w:val="006F6348"/>
    <w:rsid w:val="006F6924"/>
    <w:rsid w:val="006F787C"/>
    <w:rsid w:val="006F78C5"/>
    <w:rsid w:val="0070124F"/>
    <w:rsid w:val="00702909"/>
    <w:rsid w:val="0070333F"/>
    <w:rsid w:val="007136AD"/>
    <w:rsid w:val="0071394D"/>
    <w:rsid w:val="00713E26"/>
    <w:rsid w:val="007143BE"/>
    <w:rsid w:val="00717F3E"/>
    <w:rsid w:val="007219F2"/>
    <w:rsid w:val="007232FA"/>
    <w:rsid w:val="007238CF"/>
    <w:rsid w:val="00730891"/>
    <w:rsid w:val="0074196E"/>
    <w:rsid w:val="00743D0D"/>
    <w:rsid w:val="007456E9"/>
    <w:rsid w:val="00745904"/>
    <w:rsid w:val="00745FDC"/>
    <w:rsid w:val="00746E2F"/>
    <w:rsid w:val="00752E18"/>
    <w:rsid w:val="007534FD"/>
    <w:rsid w:val="007545FD"/>
    <w:rsid w:val="0075624F"/>
    <w:rsid w:val="00756C3B"/>
    <w:rsid w:val="0076175B"/>
    <w:rsid w:val="00763350"/>
    <w:rsid w:val="00763452"/>
    <w:rsid w:val="0076380B"/>
    <w:rsid w:val="007679ED"/>
    <w:rsid w:val="007738E8"/>
    <w:rsid w:val="00777475"/>
    <w:rsid w:val="00777AFB"/>
    <w:rsid w:val="00780DF9"/>
    <w:rsid w:val="007826CB"/>
    <w:rsid w:val="0078498F"/>
    <w:rsid w:val="00784B2B"/>
    <w:rsid w:val="00785F7A"/>
    <w:rsid w:val="00790D12"/>
    <w:rsid w:val="00794730"/>
    <w:rsid w:val="00796454"/>
    <w:rsid w:val="007974DE"/>
    <w:rsid w:val="0079773F"/>
    <w:rsid w:val="007A1A23"/>
    <w:rsid w:val="007A2F9E"/>
    <w:rsid w:val="007A323F"/>
    <w:rsid w:val="007A4618"/>
    <w:rsid w:val="007A6E26"/>
    <w:rsid w:val="007A7821"/>
    <w:rsid w:val="007B0048"/>
    <w:rsid w:val="007B27A3"/>
    <w:rsid w:val="007B4097"/>
    <w:rsid w:val="007B4EE9"/>
    <w:rsid w:val="007C0088"/>
    <w:rsid w:val="007C2161"/>
    <w:rsid w:val="007C3388"/>
    <w:rsid w:val="007C476D"/>
    <w:rsid w:val="007D33A6"/>
    <w:rsid w:val="007D39BE"/>
    <w:rsid w:val="007D7C82"/>
    <w:rsid w:val="007E22C0"/>
    <w:rsid w:val="007E55B1"/>
    <w:rsid w:val="007F0336"/>
    <w:rsid w:val="007F1199"/>
    <w:rsid w:val="007F17CE"/>
    <w:rsid w:val="007F258A"/>
    <w:rsid w:val="007F4E17"/>
    <w:rsid w:val="008010DD"/>
    <w:rsid w:val="00803053"/>
    <w:rsid w:val="00807A40"/>
    <w:rsid w:val="00815611"/>
    <w:rsid w:val="00816166"/>
    <w:rsid w:val="00816204"/>
    <w:rsid w:val="00817215"/>
    <w:rsid w:val="00817F6B"/>
    <w:rsid w:val="00824CD5"/>
    <w:rsid w:val="008300F8"/>
    <w:rsid w:val="00830DBF"/>
    <w:rsid w:val="00833594"/>
    <w:rsid w:val="00834663"/>
    <w:rsid w:val="00836F77"/>
    <w:rsid w:val="00837057"/>
    <w:rsid w:val="00840CD9"/>
    <w:rsid w:val="00841AC7"/>
    <w:rsid w:val="008441C3"/>
    <w:rsid w:val="00844564"/>
    <w:rsid w:val="008454DC"/>
    <w:rsid w:val="0084607E"/>
    <w:rsid w:val="0085024A"/>
    <w:rsid w:val="008521A1"/>
    <w:rsid w:val="00853520"/>
    <w:rsid w:val="00853D1E"/>
    <w:rsid w:val="0085547D"/>
    <w:rsid w:val="00861E11"/>
    <w:rsid w:val="00862077"/>
    <w:rsid w:val="00862B64"/>
    <w:rsid w:val="00863002"/>
    <w:rsid w:val="0086529D"/>
    <w:rsid w:val="008669AC"/>
    <w:rsid w:val="00871790"/>
    <w:rsid w:val="008738EA"/>
    <w:rsid w:val="0088289A"/>
    <w:rsid w:val="0088343A"/>
    <w:rsid w:val="008851C0"/>
    <w:rsid w:val="0089089E"/>
    <w:rsid w:val="00894395"/>
    <w:rsid w:val="00894526"/>
    <w:rsid w:val="00895A7A"/>
    <w:rsid w:val="008A1B46"/>
    <w:rsid w:val="008A1E6A"/>
    <w:rsid w:val="008A35C3"/>
    <w:rsid w:val="008B02CC"/>
    <w:rsid w:val="008B1EFE"/>
    <w:rsid w:val="008B1FA0"/>
    <w:rsid w:val="008B6851"/>
    <w:rsid w:val="008C0678"/>
    <w:rsid w:val="008C1241"/>
    <w:rsid w:val="008C15E4"/>
    <w:rsid w:val="008C175A"/>
    <w:rsid w:val="008C3E3E"/>
    <w:rsid w:val="008C5CCA"/>
    <w:rsid w:val="008C6993"/>
    <w:rsid w:val="008D08D3"/>
    <w:rsid w:val="008D26B4"/>
    <w:rsid w:val="008D2F28"/>
    <w:rsid w:val="008D3E1C"/>
    <w:rsid w:val="008D7159"/>
    <w:rsid w:val="008D72A8"/>
    <w:rsid w:val="008E0599"/>
    <w:rsid w:val="008E05F0"/>
    <w:rsid w:val="008E1CFB"/>
    <w:rsid w:val="008E2907"/>
    <w:rsid w:val="008E2A06"/>
    <w:rsid w:val="008E50A2"/>
    <w:rsid w:val="008E52FE"/>
    <w:rsid w:val="008F02A6"/>
    <w:rsid w:val="008F031A"/>
    <w:rsid w:val="008F0AB6"/>
    <w:rsid w:val="008F23D6"/>
    <w:rsid w:val="008F4A00"/>
    <w:rsid w:val="008F5427"/>
    <w:rsid w:val="008F5630"/>
    <w:rsid w:val="008F626B"/>
    <w:rsid w:val="008F6460"/>
    <w:rsid w:val="008F6E86"/>
    <w:rsid w:val="008F7351"/>
    <w:rsid w:val="008F7A77"/>
    <w:rsid w:val="0090151F"/>
    <w:rsid w:val="00901DC9"/>
    <w:rsid w:val="00906BCC"/>
    <w:rsid w:val="00907430"/>
    <w:rsid w:val="00911897"/>
    <w:rsid w:val="00911F40"/>
    <w:rsid w:val="009125E5"/>
    <w:rsid w:val="00913C68"/>
    <w:rsid w:val="009152D2"/>
    <w:rsid w:val="00916D42"/>
    <w:rsid w:val="00920185"/>
    <w:rsid w:val="0092167C"/>
    <w:rsid w:val="009264A2"/>
    <w:rsid w:val="00931E73"/>
    <w:rsid w:val="009322FB"/>
    <w:rsid w:val="00933873"/>
    <w:rsid w:val="00933A70"/>
    <w:rsid w:val="00934B2E"/>
    <w:rsid w:val="00935054"/>
    <w:rsid w:val="009365B3"/>
    <w:rsid w:val="00936EEA"/>
    <w:rsid w:val="009415C5"/>
    <w:rsid w:val="00942B30"/>
    <w:rsid w:val="00944AE4"/>
    <w:rsid w:val="00945DD5"/>
    <w:rsid w:val="00947078"/>
    <w:rsid w:val="009510AD"/>
    <w:rsid w:val="00953A00"/>
    <w:rsid w:val="00955200"/>
    <w:rsid w:val="00955B78"/>
    <w:rsid w:val="00957998"/>
    <w:rsid w:val="00960C0D"/>
    <w:rsid w:val="00970476"/>
    <w:rsid w:val="00974FFE"/>
    <w:rsid w:val="00984FB3"/>
    <w:rsid w:val="00987FA9"/>
    <w:rsid w:val="00990995"/>
    <w:rsid w:val="00990D5F"/>
    <w:rsid w:val="00991F20"/>
    <w:rsid w:val="0099440E"/>
    <w:rsid w:val="009959BC"/>
    <w:rsid w:val="0099648E"/>
    <w:rsid w:val="009A2CB3"/>
    <w:rsid w:val="009A4158"/>
    <w:rsid w:val="009B0B1E"/>
    <w:rsid w:val="009B106A"/>
    <w:rsid w:val="009B2DC0"/>
    <w:rsid w:val="009B30F7"/>
    <w:rsid w:val="009B4FBE"/>
    <w:rsid w:val="009C161B"/>
    <w:rsid w:val="009C224D"/>
    <w:rsid w:val="009C299C"/>
    <w:rsid w:val="009C4B98"/>
    <w:rsid w:val="009C4C8F"/>
    <w:rsid w:val="009C6321"/>
    <w:rsid w:val="009D0973"/>
    <w:rsid w:val="009D11D0"/>
    <w:rsid w:val="009D2BC8"/>
    <w:rsid w:val="009D31B4"/>
    <w:rsid w:val="009D5C0C"/>
    <w:rsid w:val="009E0584"/>
    <w:rsid w:val="009E190E"/>
    <w:rsid w:val="009E1BE2"/>
    <w:rsid w:val="009E405F"/>
    <w:rsid w:val="009E4688"/>
    <w:rsid w:val="009E5688"/>
    <w:rsid w:val="009E5B28"/>
    <w:rsid w:val="009E7E4B"/>
    <w:rsid w:val="009F069C"/>
    <w:rsid w:val="009F3960"/>
    <w:rsid w:val="009F5F74"/>
    <w:rsid w:val="00A00581"/>
    <w:rsid w:val="00A01335"/>
    <w:rsid w:val="00A0135D"/>
    <w:rsid w:val="00A017E2"/>
    <w:rsid w:val="00A03C93"/>
    <w:rsid w:val="00A05979"/>
    <w:rsid w:val="00A059CC"/>
    <w:rsid w:val="00A05E1C"/>
    <w:rsid w:val="00A06898"/>
    <w:rsid w:val="00A17088"/>
    <w:rsid w:val="00A17256"/>
    <w:rsid w:val="00A26D12"/>
    <w:rsid w:val="00A3186C"/>
    <w:rsid w:val="00A33BAB"/>
    <w:rsid w:val="00A33CE6"/>
    <w:rsid w:val="00A469DA"/>
    <w:rsid w:val="00A47493"/>
    <w:rsid w:val="00A505F1"/>
    <w:rsid w:val="00A5795C"/>
    <w:rsid w:val="00A61BE3"/>
    <w:rsid w:val="00A63A48"/>
    <w:rsid w:val="00A66467"/>
    <w:rsid w:val="00A73DAA"/>
    <w:rsid w:val="00A7732C"/>
    <w:rsid w:val="00A81681"/>
    <w:rsid w:val="00A84C4C"/>
    <w:rsid w:val="00A87A6D"/>
    <w:rsid w:val="00A87C03"/>
    <w:rsid w:val="00A90621"/>
    <w:rsid w:val="00A90738"/>
    <w:rsid w:val="00A9268D"/>
    <w:rsid w:val="00A96EF2"/>
    <w:rsid w:val="00A97966"/>
    <w:rsid w:val="00A97DDB"/>
    <w:rsid w:val="00A97E13"/>
    <w:rsid w:val="00AA6AF1"/>
    <w:rsid w:val="00AB120B"/>
    <w:rsid w:val="00AB21D7"/>
    <w:rsid w:val="00AB60B8"/>
    <w:rsid w:val="00AB678B"/>
    <w:rsid w:val="00AC1727"/>
    <w:rsid w:val="00AC2AC6"/>
    <w:rsid w:val="00AC4469"/>
    <w:rsid w:val="00AC515B"/>
    <w:rsid w:val="00AC5AE0"/>
    <w:rsid w:val="00AC68A1"/>
    <w:rsid w:val="00AC79A8"/>
    <w:rsid w:val="00AD10C4"/>
    <w:rsid w:val="00AD3423"/>
    <w:rsid w:val="00AD4559"/>
    <w:rsid w:val="00AD5493"/>
    <w:rsid w:val="00AD5FA8"/>
    <w:rsid w:val="00AE0F18"/>
    <w:rsid w:val="00AE4AC9"/>
    <w:rsid w:val="00AE4D4F"/>
    <w:rsid w:val="00AF415A"/>
    <w:rsid w:val="00B0086C"/>
    <w:rsid w:val="00B00BBB"/>
    <w:rsid w:val="00B01127"/>
    <w:rsid w:val="00B06061"/>
    <w:rsid w:val="00B0784B"/>
    <w:rsid w:val="00B079E3"/>
    <w:rsid w:val="00B10BD5"/>
    <w:rsid w:val="00B10C5A"/>
    <w:rsid w:val="00B11EF1"/>
    <w:rsid w:val="00B172CD"/>
    <w:rsid w:val="00B17DFB"/>
    <w:rsid w:val="00B23C89"/>
    <w:rsid w:val="00B24F91"/>
    <w:rsid w:val="00B25AFC"/>
    <w:rsid w:val="00B314FE"/>
    <w:rsid w:val="00B33C34"/>
    <w:rsid w:val="00B34574"/>
    <w:rsid w:val="00B347A1"/>
    <w:rsid w:val="00B36BF3"/>
    <w:rsid w:val="00B37580"/>
    <w:rsid w:val="00B42A31"/>
    <w:rsid w:val="00B44214"/>
    <w:rsid w:val="00B470AC"/>
    <w:rsid w:val="00B47680"/>
    <w:rsid w:val="00B479CC"/>
    <w:rsid w:val="00B60113"/>
    <w:rsid w:val="00B62818"/>
    <w:rsid w:val="00B66A4F"/>
    <w:rsid w:val="00B706EC"/>
    <w:rsid w:val="00B71E9C"/>
    <w:rsid w:val="00B73B67"/>
    <w:rsid w:val="00B776F6"/>
    <w:rsid w:val="00B77A1A"/>
    <w:rsid w:val="00B833A9"/>
    <w:rsid w:val="00B83930"/>
    <w:rsid w:val="00B850E4"/>
    <w:rsid w:val="00B8595F"/>
    <w:rsid w:val="00B863E1"/>
    <w:rsid w:val="00B866DC"/>
    <w:rsid w:val="00B90365"/>
    <w:rsid w:val="00B90FA1"/>
    <w:rsid w:val="00B9416D"/>
    <w:rsid w:val="00B95797"/>
    <w:rsid w:val="00B977E4"/>
    <w:rsid w:val="00B97B9F"/>
    <w:rsid w:val="00B97F54"/>
    <w:rsid w:val="00BA2748"/>
    <w:rsid w:val="00BA39D7"/>
    <w:rsid w:val="00BA582D"/>
    <w:rsid w:val="00BA5BF0"/>
    <w:rsid w:val="00BA7500"/>
    <w:rsid w:val="00BB4681"/>
    <w:rsid w:val="00BB5BDE"/>
    <w:rsid w:val="00BB7214"/>
    <w:rsid w:val="00BC2B3B"/>
    <w:rsid w:val="00BC3AEA"/>
    <w:rsid w:val="00BC4190"/>
    <w:rsid w:val="00BC4686"/>
    <w:rsid w:val="00BC4BF6"/>
    <w:rsid w:val="00BC569E"/>
    <w:rsid w:val="00BC5923"/>
    <w:rsid w:val="00BD311A"/>
    <w:rsid w:val="00BD31C8"/>
    <w:rsid w:val="00BD609D"/>
    <w:rsid w:val="00BE0B4A"/>
    <w:rsid w:val="00BE1B1D"/>
    <w:rsid w:val="00BE617E"/>
    <w:rsid w:val="00BF1818"/>
    <w:rsid w:val="00BF42CE"/>
    <w:rsid w:val="00C03918"/>
    <w:rsid w:val="00C06651"/>
    <w:rsid w:val="00C1307B"/>
    <w:rsid w:val="00C13AE0"/>
    <w:rsid w:val="00C20A1D"/>
    <w:rsid w:val="00C214E6"/>
    <w:rsid w:val="00C23443"/>
    <w:rsid w:val="00C2346A"/>
    <w:rsid w:val="00C23905"/>
    <w:rsid w:val="00C26344"/>
    <w:rsid w:val="00C26760"/>
    <w:rsid w:val="00C27864"/>
    <w:rsid w:val="00C31E97"/>
    <w:rsid w:val="00C32EA3"/>
    <w:rsid w:val="00C34ECB"/>
    <w:rsid w:val="00C412BC"/>
    <w:rsid w:val="00C44B88"/>
    <w:rsid w:val="00C45949"/>
    <w:rsid w:val="00C45B14"/>
    <w:rsid w:val="00C46112"/>
    <w:rsid w:val="00C5176C"/>
    <w:rsid w:val="00C5394D"/>
    <w:rsid w:val="00C55AA4"/>
    <w:rsid w:val="00C57085"/>
    <w:rsid w:val="00C61340"/>
    <w:rsid w:val="00C61A7F"/>
    <w:rsid w:val="00C62431"/>
    <w:rsid w:val="00C62801"/>
    <w:rsid w:val="00C63C9C"/>
    <w:rsid w:val="00C64051"/>
    <w:rsid w:val="00C64CA3"/>
    <w:rsid w:val="00C71300"/>
    <w:rsid w:val="00C71C79"/>
    <w:rsid w:val="00C7217E"/>
    <w:rsid w:val="00C725B5"/>
    <w:rsid w:val="00C77BB3"/>
    <w:rsid w:val="00C80F9F"/>
    <w:rsid w:val="00C83F1D"/>
    <w:rsid w:val="00C848A5"/>
    <w:rsid w:val="00C867DC"/>
    <w:rsid w:val="00C87B0F"/>
    <w:rsid w:val="00C90A01"/>
    <w:rsid w:val="00C90A88"/>
    <w:rsid w:val="00C95348"/>
    <w:rsid w:val="00C95C81"/>
    <w:rsid w:val="00C95CDB"/>
    <w:rsid w:val="00C96EEF"/>
    <w:rsid w:val="00C975E3"/>
    <w:rsid w:val="00CA2458"/>
    <w:rsid w:val="00CA311B"/>
    <w:rsid w:val="00CA4651"/>
    <w:rsid w:val="00CA477C"/>
    <w:rsid w:val="00CA5190"/>
    <w:rsid w:val="00CA5803"/>
    <w:rsid w:val="00CA6664"/>
    <w:rsid w:val="00CA68B4"/>
    <w:rsid w:val="00CB28A9"/>
    <w:rsid w:val="00CB4984"/>
    <w:rsid w:val="00CB7987"/>
    <w:rsid w:val="00CC1219"/>
    <w:rsid w:val="00CC3B6E"/>
    <w:rsid w:val="00CC4F66"/>
    <w:rsid w:val="00CC4F83"/>
    <w:rsid w:val="00CC561B"/>
    <w:rsid w:val="00CC5A23"/>
    <w:rsid w:val="00CC5D19"/>
    <w:rsid w:val="00CC6E9F"/>
    <w:rsid w:val="00CC7365"/>
    <w:rsid w:val="00CC75EA"/>
    <w:rsid w:val="00CD1FB7"/>
    <w:rsid w:val="00CD3083"/>
    <w:rsid w:val="00CD466E"/>
    <w:rsid w:val="00CD4E27"/>
    <w:rsid w:val="00CD5922"/>
    <w:rsid w:val="00CD7A51"/>
    <w:rsid w:val="00CE0DD6"/>
    <w:rsid w:val="00CE0EF8"/>
    <w:rsid w:val="00CE3B58"/>
    <w:rsid w:val="00CF09EA"/>
    <w:rsid w:val="00CF0FE5"/>
    <w:rsid w:val="00CF4F40"/>
    <w:rsid w:val="00CF5C09"/>
    <w:rsid w:val="00D10CEB"/>
    <w:rsid w:val="00D155FA"/>
    <w:rsid w:val="00D20A66"/>
    <w:rsid w:val="00D249D5"/>
    <w:rsid w:val="00D259EA"/>
    <w:rsid w:val="00D25EF1"/>
    <w:rsid w:val="00D27219"/>
    <w:rsid w:val="00D27646"/>
    <w:rsid w:val="00D32637"/>
    <w:rsid w:val="00D354AB"/>
    <w:rsid w:val="00D42353"/>
    <w:rsid w:val="00D42C70"/>
    <w:rsid w:val="00D42EE5"/>
    <w:rsid w:val="00D43998"/>
    <w:rsid w:val="00D4526B"/>
    <w:rsid w:val="00D46399"/>
    <w:rsid w:val="00D4697E"/>
    <w:rsid w:val="00D50EA1"/>
    <w:rsid w:val="00D5325B"/>
    <w:rsid w:val="00D562F6"/>
    <w:rsid w:val="00D6153C"/>
    <w:rsid w:val="00D616F6"/>
    <w:rsid w:val="00D62708"/>
    <w:rsid w:val="00D63619"/>
    <w:rsid w:val="00D63E1B"/>
    <w:rsid w:val="00D71818"/>
    <w:rsid w:val="00D725EF"/>
    <w:rsid w:val="00D72957"/>
    <w:rsid w:val="00D72B4B"/>
    <w:rsid w:val="00D72EF1"/>
    <w:rsid w:val="00D7796B"/>
    <w:rsid w:val="00D81D76"/>
    <w:rsid w:val="00D8652B"/>
    <w:rsid w:val="00D86CA5"/>
    <w:rsid w:val="00D87548"/>
    <w:rsid w:val="00D87C4A"/>
    <w:rsid w:val="00D91546"/>
    <w:rsid w:val="00D917C8"/>
    <w:rsid w:val="00D92E2A"/>
    <w:rsid w:val="00D95D4E"/>
    <w:rsid w:val="00D96199"/>
    <w:rsid w:val="00D977D3"/>
    <w:rsid w:val="00DA07A7"/>
    <w:rsid w:val="00DA22E2"/>
    <w:rsid w:val="00DA26B9"/>
    <w:rsid w:val="00DA30D6"/>
    <w:rsid w:val="00DA4DC7"/>
    <w:rsid w:val="00DB024E"/>
    <w:rsid w:val="00DB07F7"/>
    <w:rsid w:val="00DC2B2B"/>
    <w:rsid w:val="00DC494D"/>
    <w:rsid w:val="00DC56EA"/>
    <w:rsid w:val="00DC5B6C"/>
    <w:rsid w:val="00DC6762"/>
    <w:rsid w:val="00DC7AAB"/>
    <w:rsid w:val="00DC7EB7"/>
    <w:rsid w:val="00DD041D"/>
    <w:rsid w:val="00DD3146"/>
    <w:rsid w:val="00DD34B0"/>
    <w:rsid w:val="00DD59F7"/>
    <w:rsid w:val="00DD5AEB"/>
    <w:rsid w:val="00DD764B"/>
    <w:rsid w:val="00DE4F3A"/>
    <w:rsid w:val="00DE58FF"/>
    <w:rsid w:val="00DF0B75"/>
    <w:rsid w:val="00DF39F8"/>
    <w:rsid w:val="00DF4139"/>
    <w:rsid w:val="00DF5772"/>
    <w:rsid w:val="00E01C5D"/>
    <w:rsid w:val="00E049C8"/>
    <w:rsid w:val="00E12CB4"/>
    <w:rsid w:val="00E1367C"/>
    <w:rsid w:val="00E14A7E"/>
    <w:rsid w:val="00E1513C"/>
    <w:rsid w:val="00E170CA"/>
    <w:rsid w:val="00E26475"/>
    <w:rsid w:val="00E270A4"/>
    <w:rsid w:val="00E30C6E"/>
    <w:rsid w:val="00E323A1"/>
    <w:rsid w:val="00E32466"/>
    <w:rsid w:val="00E324CE"/>
    <w:rsid w:val="00E329E1"/>
    <w:rsid w:val="00E34294"/>
    <w:rsid w:val="00E35A5C"/>
    <w:rsid w:val="00E413BC"/>
    <w:rsid w:val="00E41ED5"/>
    <w:rsid w:val="00E43089"/>
    <w:rsid w:val="00E4474D"/>
    <w:rsid w:val="00E45A9F"/>
    <w:rsid w:val="00E46966"/>
    <w:rsid w:val="00E4744C"/>
    <w:rsid w:val="00E5419C"/>
    <w:rsid w:val="00E570A2"/>
    <w:rsid w:val="00E5792D"/>
    <w:rsid w:val="00E57C3C"/>
    <w:rsid w:val="00E603C9"/>
    <w:rsid w:val="00E607DF"/>
    <w:rsid w:val="00E645FE"/>
    <w:rsid w:val="00E65C59"/>
    <w:rsid w:val="00E7128B"/>
    <w:rsid w:val="00E73B73"/>
    <w:rsid w:val="00E74B4C"/>
    <w:rsid w:val="00E773EE"/>
    <w:rsid w:val="00E81946"/>
    <w:rsid w:val="00E8349D"/>
    <w:rsid w:val="00E85B2B"/>
    <w:rsid w:val="00E906C8"/>
    <w:rsid w:val="00E94D48"/>
    <w:rsid w:val="00E959D7"/>
    <w:rsid w:val="00E95F04"/>
    <w:rsid w:val="00E968BB"/>
    <w:rsid w:val="00EA08ED"/>
    <w:rsid w:val="00EA0BD1"/>
    <w:rsid w:val="00EA17F2"/>
    <w:rsid w:val="00EA1B4C"/>
    <w:rsid w:val="00EA24E4"/>
    <w:rsid w:val="00EA50E0"/>
    <w:rsid w:val="00EA654B"/>
    <w:rsid w:val="00EA7004"/>
    <w:rsid w:val="00EB18B3"/>
    <w:rsid w:val="00EB4CF7"/>
    <w:rsid w:val="00EB5400"/>
    <w:rsid w:val="00EC2121"/>
    <w:rsid w:val="00EC3F7B"/>
    <w:rsid w:val="00EC5903"/>
    <w:rsid w:val="00EC6429"/>
    <w:rsid w:val="00EC7A7B"/>
    <w:rsid w:val="00ED383B"/>
    <w:rsid w:val="00ED38C2"/>
    <w:rsid w:val="00ED4FCC"/>
    <w:rsid w:val="00ED598F"/>
    <w:rsid w:val="00ED5CD0"/>
    <w:rsid w:val="00ED5F86"/>
    <w:rsid w:val="00ED62F6"/>
    <w:rsid w:val="00EE2D8B"/>
    <w:rsid w:val="00EE3A50"/>
    <w:rsid w:val="00EE5881"/>
    <w:rsid w:val="00EF0E3B"/>
    <w:rsid w:val="00EF654C"/>
    <w:rsid w:val="00F0063F"/>
    <w:rsid w:val="00F00DCE"/>
    <w:rsid w:val="00F03852"/>
    <w:rsid w:val="00F102F2"/>
    <w:rsid w:val="00F126AD"/>
    <w:rsid w:val="00F12710"/>
    <w:rsid w:val="00F12C37"/>
    <w:rsid w:val="00F13680"/>
    <w:rsid w:val="00F1452A"/>
    <w:rsid w:val="00F1623F"/>
    <w:rsid w:val="00F178B2"/>
    <w:rsid w:val="00F2190E"/>
    <w:rsid w:val="00F21D07"/>
    <w:rsid w:val="00F24DD9"/>
    <w:rsid w:val="00F25916"/>
    <w:rsid w:val="00F26C53"/>
    <w:rsid w:val="00F31294"/>
    <w:rsid w:val="00F31B3F"/>
    <w:rsid w:val="00F31CDB"/>
    <w:rsid w:val="00F327F1"/>
    <w:rsid w:val="00F36A0D"/>
    <w:rsid w:val="00F36C9C"/>
    <w:rsid w:val="00F37AB2"/>
    <w:rsid w:val="00F40CEA"/>
    <w:rsid w:val="00F4288F"/>
    <w:rsid w:val="00F445EE"/>
    <w:rsid w:val="00F540A2"/>
    <w:rsid w:val="00F54599"/>
    <w:rsid w:val="00F55B32"/>
    <w:rsid w:val="00F603D9"/>
    <w:rsid w:val="00F6052F"/>
    <w:rsid w:val="00F60641"/>
    <w:rsid w:val="00F667DF"/>
    <w:rsid w:val="00F7039E"/>
    <w:rsid w:val="00F70AB8"/>
    <w:rsid w:val="00F716CB"/>
    <w:rsid w:val="00F71C4C"/>
    <w:rsid w:val="00F7518E"/>
    <w:rsid w:val="00F75AC2"/>
    <w:rsid w:val="00F76EAE"/>
    <w:rsid w:val="00F77364"/>
    <w:rsid w:val="00F82877"/>
    <w:rsid w:val="00F852DE"/>
    <w:rsid w:val="00F910D4"/>
    <w:rsid w:val="00F94858"/>
    <w:rsid w:val="00F94968"/>
    <w:rsid w:val="00F96B90"/>
    <w:rsid w:val="00F97BAE"/>
    <w:rsid w:val="00FA2282"/>
    <w:rsid w:val="00FA5572"/>
    <w:rsid w:val="00FA579C"/>
    <w:rsid w:val="00FA6FCF"/>
    <w:rsid w:val="00FA7646"/>
    <w:rsid w:val="00FB096C"/>
    <w:rsid w:val="00FB0AD0"/>
    <w:rsid w:val="00FB2C43"/>
    <w:rsid w:val="00FB49B4"/>
    <w:rsid w:val="00FB5461"/>
    <w:rsid w:val="00FB5B1E"/>
    <w:rsid w:val="00FB6294"/>
    <w:rsid w:val="00FB68CB"/>
    <w:rsid w:val="00FB6D44"/>
    <w:rsid w:val="00FB7B9B"/>
    <w:rsid w:val="00FC0091"/>
    <w:rsid w:val="00FC0261"/>
    <w:rsid w:val="00FC3E51"/>
    <w:rsid w:val="00FC5628"/>
    <w:rsid w:val="00FD0E12"/>
    <w:rsid w:val="00FD2ADF"/>
    <w:rsid w:val="00FD449C"/>
    <w:rsid w:val="00FD75DE"/>
    <w:rsid w:val="00FE1886"/>
    <w:rsid w:val="00FE2C30"/>
    <w:rsid w:val="00FE593F"/>
    <w:rsid w:val="00FE7594"/>
    <w:rsid w:val="00FF21EC"/>
    <w:rsid w:val="00FF2A48"/>
    <w:rsid w:val="00FF2B7F"/>
    <w:rsid w:val="00FF3F14"/>
    <w:rsid w:val="00FF4423"/>
    <w:rsid w:val="00FF4A0F"/>
    <w:rsid w:val="00FF53D5"/>
    <w:rsid w:val="3FD14FCD"/>
    <w:rsid w:val="55DF346A"/>
    <w:rsid w:val="5D2D722D"/>
    <w:rsid w:val="65FE1769"/>
    <w:rsid w:val="6AFFB0BF"/>
    <w:rsid w:val="7BEF17B3"/>
    <w:rsid w:val="7CB900FA"/>
    <w:rsid w:val="7FF7DCA3"/>
    <w:rsid w:val="A6EF8E9C"/>
    <w:rsid w:val="A7BF147F"/>
    <w:rsid w:val="ADFF36A5"/>
    <w:rsid w:val="B5B511F0"/>
    <w:rsid w:val="C5F8A9FB"/>
    <w:rsid w:val="D5FFE1B7"/>
    <w:rsid w:val="D6EFD8E8"/>
    <w:rsid w:val="DF1D5576"/>
    <w:rsid w:val="F6D7DD67"/>
    <w:rsid w:val="F7DD281D"/>
    <w:rsid w:val="FDF5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80" w:firstLineChars="200"/>
      <w:jc w:val="both"/>
    </w:pPr>
    <w:rPr>
      <w:rFonts w:ascii="Calibri" w:hAnsi="Calibri" w:eastAsia="楷体" w:cstheme="minorBidi"/>
      <w:kern w:val="2"/>
      <w:sz w:val="24"/>
      <w:szCs w:val="24"/>
      <w:lang w:val="en-US" w:eastAsia="zh-CN" w:bidi="ar-SA"/>
    </w:rPr>
  </w:style>
  <w:style w:type="paragraph" w:styleId="2">
    <w:name w:val="heading 1"/>
    <w:basedOn w:val="1"/>
    <w:next w:val="1"/>
    <w:link w:val="26"/>
    <w:qFormat/>
    <w:uiPriority w:val="9"/>
    <w:pPr>
      <w:keepNext/>
      <w:keepLines/>
      <w:spacing w:before="260" w:after="260" w:line="480" w:lineRule="auto"/>
      <w:jc w:val="center"/>
      <w:outlineLvl w:val="0"/>
    </w:pPr>
    <w:rPr>
      <w:b/>
      <w:bCs/>
      <w:kern w:val="44"/>
      <w:sz w:val="30"/>
      <w:szCs w:val="32"/>
    </w:rPr>
  </w:style>
  <w:style w:type="paragraph" w:styleId="3">
    <w:name w:val="heading 2"/>
    <w:basedOn w:val="1"/>
    <w:next w:val="1"/>
    <w:link w:val="27"/>
    <w:unhideWhenUsed/>
    <w:qFormat/>
    <w:uiPriority w:val="9"/>
    <w:pPr>
      <w:keepNext/>
      <w:keepLines/>
      <w:spacing w:before="260" w:after="260"/>
      <w:outlineLvl w:val="1"/>
    </w:pPr>
    <w:rPr>
      <w:rFonts w:asciiTheme="majorHAnsi" w:hAnsiTheme="majorHAnsi" w:cstheme="majorBidi"/>
      <w:b/>
      <w:bCs/>
      <w:szCs w:val="32"/>
    </w:rPr>
  </w:style>
  <w:style w:type="paragraph" w:styleId="4">
    <w:name w:val="heading 3"/>
    <w:basedOn w:val="1"/>
    <w:next w:val="1"/>
    <w:link w:val="28"/>
    <w:unhideWhenUsed/>
    <w:qFormat/>
    <w:uiPriority w:val="9"/>
    <w:pPr>
      <w:keepNext/>
      <w:keepLines/>
      <w:spacing w:before="260" w:after="260"/>
      <w:outlineLvl w:val="2"/>
    </w:pPr>
    <w:rPr>
      <w:b/>
      <w:bCs/>
      <w:szCs w:val="32"/>
    </w:rPr>
  </w:style>
  <w:style w:type="paragraph" w:styleId="5">
    <w:name w:val="heading 4"/>
    <w:basedOn w:val="1"/>
    <w:next w:val="1"/>
    <w:link w:val="37"/>
    <w:unhideWhenUsed/>
    <w:qFormat/>
    <w:uiPriority w:val="9"/>
    <w:pPr>
      <w:keepNext/>
      <w:keepLines/>
      <w:spacing w:before="260" w:after="260"/>
      <w:outlineLvl w:val="3"/>
    </w:pPr>
    <w:rPr>
      <w:rFonts w:asciiTheme="majorHAnsi" w:hAnsiTheme="majorHAnsi" w:cstheme="majorBidi"/>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ody Text"/>
    <w:basedOn w:val="1"/>
    <w:link w:val="40"/>
    <w:qFormat/>
    <w:uiPriority w:val="1"/>
    <w:pPr>
      <w:widowControl w:val="0"/>
      <w:spacing w:before="120" w:after="163" w:afterLines="50"/>
      <w:jc w:val="left"/>
    </w:pPr>
    <w:rPr>
      <w:rFonts w:ascii="楷体" w:hAnsi="宋体"/>
      <w:b/>
      <w:kern w:val="0"/>
      <w:lang w:eastAsia="en-US"/>
    </w:rPr>
  </w:style>
  <w:style w:type="paragraph" w:styleId="7">
    <w:name w:val="toc 3"/>
    <w:basedOn w:val="1"/>
    <w:next w:val="1"/>
    <w:unhideWhenUsed/>
    <w:qFormat/>
    <w:uiPriority w:val="39"/>
    <w:pPr>
      <w:ind w:left="840" w:leftChars="400"/>
    </w:pPr>
  </w:style>
  <w:style w:type="paragraph" w:styleId="8">
    <w:name w:val="Balloon Text"/>
    <w:basedOn w:val="1"/>
    <w:link w:val="35"/>
    <w:unhideWhenUsed/>
    <w:qFormat/>
    <w:uiPriority w:val="99"/>
    <w:pPr>
      <w:spacing w:line="240" w:lineRule="auto"/>
    </w:pPr>
    <w:rPr>
      <w:rFonts w:ascii="宋体" w:eastAsia="宋体"/>
      <w:sz w:val="18"/>
      <w:szCs w:val="18"/>
    </w:rPr>
  </w:style>
  <w:style w:type="paragraph" w:styleId="9">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right" w:leader="dot" w:pos="8296"/>
      </w:tabs>
      <w:ind w:firstLine="560"/>
    </w:p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spacing w:before="100" w:beforeAutospacing="1" w:after="100" w:afterAutospacing="1" w:line="240" w:lineRule="auto"/>
      <w:jc w:val="left"/>
    </w:pPr>
    <w:rPr>
      <w:rFonts w:ascii="宋体" w:hAnsi="宋体" w:eastAsia="宋体" w:cs="宋体"/>
      <w:kern w:val="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unhideWhenUsed/>
    <w:qFormat/>
    <w:uiPriority w:val="99"/>
  </w:style>
  <w:style w:type="character" w:styleId="19">
    <w:name w:val="Hyperlink"/>
    <w:basedOn w:val="16"/>
    <w:unhideWhenUsed/>
    <w:qFormat/>
    <w:uiPriority w:val="99"/>
    <w:rPr>
      <w:color w:val="0000FF"/>
      <w:u w:val="single"/>
    </w:rPr>
  </w:style>
  <w:style w:type="paragraph" w:customStyle="1" w:styleId="20">
    <w:name w:val="列表段落1"/>
    <w:basedOn w:val="1"/>
    <w:qFormat/>
    <w:uiPriority w:val="99"/>
    <w:pPr>
      <w:ind w:firstLine="420"/>
    </w:pPr>
  </w:style>
  <w:style w:type="character" w:customStyle="1" w:styleId="21">
    <w:name w:val="gray_text12"/>
    <w:basedOn w:val="16"/>
    <w:qFormat/>
    <w:uiPriority w:val="0"/>
  </w:style>
  <w:style w:type="character" w:customStyle="1" w:styleId="22">
    <w:name w:val="apple-converted-space"/>
    <w:basedOn w:val="16"/>
    <w:qFormat/>
    <w:uiPriority w:val="0"/>
  </w:style>
  <w:style w:type="character" w:customStyle="1" w:styleId="23">
    <w:name w:val="fontstyle01"/>
    <w:basedOn w:val="16"/>
    <w:qFormat/>
    <w:uiPriority w:val="0"/>
    <w:rPr>
      <w:rFonts w:hint="default" w:ascii="Wingdings-Regular" w:hAnsi="Wingdings-Regular"/>
      <w:color w:val="000000"/>
      <w:sz w:val="24"/>
      <w:szCs w:val="24"/>
    </w:rPr>
  </w:style>
  <w:style w:type="table" w:customStyle="1" w:styleId="24">
    <w:name w:val="浅色列表 - 强调文字颜色 11"/>
    <w:basedOn w:val="14"/>
    <w:qFormat/>
    <w:uiPriority w:val="61"/>
    <w:rPr>
      <w:rFonts w:eastAsia="Times New Roman" w:cs="Times New Roman"/>
      <w:sz w:val="21"/>
    </w:rPr>
    <w:tblPr>
      <w:tblBorders>
        <w:top w:val="single" w:color="5B9BD5" w:sz="8" w:space="0"/>
        <w:left w:val="single" w:color="5B9BD5" w:sz="8" w:space="0"/>
        <w:bottom w:val="single" w:color="5B9BD5" w:sz="8" w:space="0"/>
        <w:right w:val="single" w:color="5B9BD5" w:sz="8" w:space="0"/>
      </w:tblBorders>
    </w:tblPr>
    <w:tblStylePr w:type="firstRow">
      <w:pPr>
        <w:spacing w:before="0" w:beforeLines="0" w:beforeAutospacing="0" w:after="0" w:afterLines="0" w:afterAutospacing="0" w:line="240" w:lineRule="auto"/>
      </w:pPr>
      <w:rPr>
        <w:b/>
        <w:bCs/>
        <w:color w:val="FFFFFF"/>
      </w:rPr>
      <w:tcPr>
        <w:shd w:val="clear" w:color="auto" w:fill="5B9BD5"/>
      </w:tcPr>
    </w:tblStylePr>
    <w:tblStylePr w:type="lastRow">
      <w:pPr>
        <w:spacing w:before="0" w:beforeLines="0" w:beforeAutospacing="0" w:after="0" w:afterLines="0" w:afterAutospacing="0" w:line="240" w:lineRule="auto"/>
      </w:pPr>
      <w:rPr>
        <w:b/>
        <w:bCs/>
      </w:r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table" w:customStyle="1" w:styleId="25">
    <w:name w:val="浅色列表 - 强调文字颜色 111"/>
    <w:basedOn w:val="14"/>
    <w:qFormat/>
    <w:uiPriority w:val="61"/>
    <w:rPr>
      <w:rFonts w:eastAsia="Times New Roman" w:cs="Times New Roman"/>
      <w:sz w:val="21"/>
    </w:rPr>
    <w:tblPr>
      <w:tblBorders>
        <w:top w:val="single" w:color="5B9BD5" w:sz="8" w:space="0"/>
        <w:left w:val="single" w:color="5B9BD5" w:sz="8" w:space="0"/>
        <w:bottom w:val="single" w:color="5B9BD5" w:sz="8" w:space="0"/>
        <w:right w:val="single" w:color="5B9BD5" w:sz="8" w:space="0"/>
      </w:tblBorders>
    </w:tblPr>
    <w:tblStylePr w:type="firstRow">
      <w:pPr>
        <w:spacing w:before="0" w:beforeLines="0" w:beforeAutospacing="0" w:after="0" w:afterLines="0" w:afterAutospacing="0" w:line="240" w:lineRule="auto"/>
      </w:pPr>
      <w:rPr>
        <w:b/>
        <w:bCs/>
        <w:color w:val="FFFFFF"/>
      </w:rPr>
      <w:tcPr>
        <w:shd w:val="clear" w:color="auto" w:fill="5B9BD5"/>
      </w:tcPr>
    </w:tblStylePr>
    <w:tblStylePr w:type="lastRow">
      <w:pPr>
        <w:spacing w:before="0" w:beforeLines="0" w:beforeAutospacing="0" w:after="0" w:afterLines="0" w:afterAutospacing="0" w:line="240" w:lineRule="auto"/>
      </w:pPr>
      <w:rPr>
        <w:b/>
        <w:bCs/>
      </w:r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character" w:customStyle="1" w:styleId="26">
    <w:name w:val="标题 1 字符"/>
    <w:basedOn w:val="16"/>
    <w:link w:val="2"/>
    <w:qFormat/>
    <w:uiPriority w:val="9"/>
    <w:rPr>
      <w:rFonts w:ascii="Calibri" w:hAnsi="Calibri"/>
      <w:b/>
      <w:bCs/>
      <w:kern w:val="44"/>
      <w:sz w:val="30"/>
      <w:szCs w:val="32"/>
    </w:rPr>
  </w:style>
  <w:style w:type="character" w:customStyle="1" w:styleId="27">
    <w:name w:val="标题 2 字符"/>
    <w:basedOn w:val="16"/>
    <w:link w:val="3"/>
    <w:qFormat/>
    <w:uiPriority w:val="9"/>
    <w:rPr>
      <w:rFonts w:asciiTheme="majorHAnsi" w:hAnsiTheme="majorHAnsi" w:cstheme="majorBidi"/>
      <w:b/>
      <w:bCs/>
      <w:szCs w:val="32"/>
    </w:rPr>
  </w:style>
  <w:style w:type="character" w:customStyle="1" w:styleId="28">
    <w:name w:val="标题 3 字符"/>
    <w:basedOn w:val="16"/>
    <w:link w:val="4"/>
    <w:qFormat/>
    <w:uiPriority w:val="9"/>
    <w:rPr>
      <w:b/>
      <w:bCs/>
      <w:szCs w:val="32"/>
    </w:rPr>
  </w:style>
  <w:style w:type="character" w:customStyle="1" w:styleId="29">
    <w:name w:val="页眉 字符"/>
    <w:basedOn w:val="16"/>
    <w:link w:val="10"/>
    <w:qFormat/>
    <w:uiPriority w:val="99"/>
    <w:rPr>
      <w:sz w:val="18"/>
      <w:szCs w:val="18"/>
    </w:rPr>
  </w:style>
  <w:style w:type="character" w:customStyle="1" w:styleId="30">
    <w:name w:val="页脚 字符"/>
    <w:basedOn w:val="16"/>
    <w:link w:val="9"/>
    <w:qFormat/>
    <w:uiPriority w:val="99"/>
    <w:rPr>
      <w:sz w:val="18"/>
      <w:szCs w:val="18"/>
    </w:rPr>
  </w:style>
  <w:style w:type="paragraph" w:customStyle="1" w:styleId="31">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字符"/>
    <w:basedOn w:val="16"/>
    <w:link w:val="32"/>
    <w:qFormat/>
    <w:uiPriority w:val="1"/>
    <w:rPr>
      <w:rFonts w:eastAsiaTheme="minorEastAsia"/>
      <w:kern w:val="0"/>
      <w:sz w:val="22"/>
    </w:rPr>
  </w:style>
  <w:style w:type="table" w:customStyle="1" w:styleId="34">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5">
    <w:name w:val="批注框文本 字符"/>
    <w:basedOn w:val="16"/>
    <w:link w:val="8"/>
    <w:semiHidden/>
    <w:qFormat/>
    <w:uiPriority w:val="99"/>
    <w:rPr>
      <w:rFonts w:ascii="宋体" w:eastAsia="宋体"/>
      <w:sz w:val="18"/>
      <w:szCs w:val="18"/>
    </w:rPr>
  </w:style>
  <w:style w:type="paragraph" w:customStyle="1" w:styleId="36">
    <w:name w:val="列出段落1"/>
    <w:basedOn w:val="1"/>
    <w:qFormat/>
    <w:uiPriority w:val="99"/>
    <w:pPr>
      <w:widowControl w:val="0"/>
      <w:spacing w:line="240" w:lineRule="auto"/>
      <w:ind w:firstLine="420"/>
    </w:pPr>
    <w:rPr>
      <w:rFonts w:cs="宋体" w:eastAsiaTheme="minorEastAsia"/>
      <w:sz w:val="21"/>
      <w:szCs w:val="21"/>
    </w:rPr>
  </w:style>
  <w:style w:type="character" w:customStyle="1" w:styleId="37">
    <w:name w:val="标题 4 字符"/>
    <w:basedOn w:val="16"/>
    <w:link w:val="5"/>
    <w:semiHidden/>
    <w:qFormat/>
    <w:uiPriority w:val="9"/>
    <w:rPr>
      <w:rFonts w:asciiTheme="majorHAnsi" w:hAnsiTheme="majorHAnsi" w:cstheme="majorBidi"/>
      <w:b/>
      <w:bCs/>
      <w:szCs w:val="28"/>
    </w:rPr>
  </w:style>
  <w:style w:type="table" w:customStyle="1" w:styleId="38">
    <w:name w:val="Table Normal"/>
    <w:unhideWhenUsed/>
    <w:qFormat/>
    <w:uiPriority w:val="2"/>
    <w:pPr>
      <w:widowControl w:val="0"/>
    </w:pPr>
    <w:rPr>
      <w:rFonts w:eastAsiaTheme="minorEastAsia"/>
      <w:sz w:val="22"/>
      <w:lang w:eastAsia="en-US"/>
    </w:rPr>
    <w:tblPr>
      <w:tblCellMar>
        <w:top w:w="0" w:type="dxa"/>
        <w:left w:w="0" w:type="dxa"/>
        <w:bottom w:w="0" w:type="dxa"/>
        <w:right w:w="0" w:type="dxa"/>
      </w:tblCellMar>
    </w:tblPr>
  </w:style>
  <w:style w:type="paragraph" w:customStyle="1" w:styleId="39">
    <w:name w:val="Table Paragraph"/>
    <w:basedOn w:val="1"/>
    <w:qFormat/>
    <w:uiPriority w:val="1"/>
    <w:pPr>
      <w:widowControl w:val="0"/>
      <w:spacing w:line="240" w:lineRule="auto"/>
      <w:jc w:val="left"/>
    </w:pPr>
    <w:rPr>
      <w:rFonts w:eastAsiaTheme="minorEastAsia"/>
      <w:kern w:val="0"/>
      <w:sz w:val="22"/>
      <w:lang w:eastAsia="en-US"/>
    </w:rPr>
  </w:style>
  <w:style w:type="character" w:customStyle="1" w:styleId="40">
    <w:name w:val="正文文本 字符"/>
    <w:basedOn w:val="16"/>
    <w:link w:val="6"/>
    <w:qFormat/>
    <w:uiPriority w:val="1"/>
    <w:rPr>
      <w:rFonts w:ascii="楷体" w:hAnsi="宋体"/>
      <w:b/>
      <w:kern w:val="0"/>
      <w:szCs w:val="24"/>
      <w:lang w:eastAsia="en-US"/>
    </w:rPr>
  </w:style>
  <w:style w:type="paragraph" w:customStyle="1" w:styleId="41">
    <w:name w:val="修订1"/>
    <w:hidden/>
    <w:semiHidden/>
    <w:qFormat/>
    <w:uiPriority w:val="99"/>
    <w:rPr>
      <w:rFonts w:ascii="Calibri" w:hAnsi="Calibri" w:eastAsia="楷体" w:cstheme="minorBidi"/>
      <w:kern w:val="2"/>
      <w:sz w:val="24"/>
      <w:szCs w:val="24"/>
      <w:lang w:val="en-US" w:eastAsia="zh-CN" w:bidi="ar-SA"/>
    </w:rPr>
  </w:style>
  <w:style w:type="table" w:customStyle="1" w:styleId="42">
    <w:name w:val="网格型1"/>
    <w:basedOn w:val="14"/>
    <w:qFormat/>
    <w:uiPriority w:val="39"/>
    <w:rPr>
      <w:rFonts w:eastAsiaTheme="minorEastAsia"/>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2"/>
    <w:basedOn w:val="14"/>
    <w:qFormat/>
    <w:uiPriority w:val="39"/>
    <w:rPr>
      <w:rFonts w:eastAsiaTheme="minorEastAsia"/>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14"/>
    <w:qFormat/>
    <w:uiPriority w:val="39"/>
    <w:rPr>
      <w:rFonts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_Style 44"/>
    <w:basedOn w:val="1"/>
    <w:next w:val="20"/>
    <w:qFormat/>
    <w:uiPriority w:val="34"/>
    <w:pPr>
      <w:widowControl w:val="0"/>
      <w:spacing w:line="240" w:lineRule="auto"/>
      <w:ind w:firstLine="420"/>
    </w:pPr>
    <w:rPr>
      <w:rFonts w:eastAsia="宋体" w:cs="Times New Roman"/>
      <w:sz w:val="21"/>
      <w:szCs w:val="22"/>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3560</Words>
  <Characters>3967</Characters>
  <Lines>30</Lines>
  <Paragraphs>8</Paragraphs>
  <TotalTime>246</TotalTime>
  <ScaleCrop>false</ScaleCrop>
  <LinksUpToDate>false</LinksUpToDate>
  <CharactersWithSpaces>4197</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2022-09-28T17:06:00Z</dcterms:created>
  <dc:creator>Administrator</dc:creator>
  <cp:lastModifiedBy>LIU</cp:lastModifiedBy>
  <cp:lastPrinted>2021-01-10T15:08:00Z</cp:lastPrinted>
  <dcterms:modified xsi:type="dcterms:W3CDTF">2023-09-19T17:09:56Z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321977B2A88A39B1191409654093F8ED</vt:lpwstr>
  </property>
</Properties>
</file>