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Cs/>
          <w:kern w:val="0"/>
          <w:szCs w:val="21"/>
        </w:rPr>
      </w:pPr>
      <w:r>
        <w:rPr>
          <w:rFonts w:hint="eastAsia" w:ascii="黑体" w:hAnsi="黑体" w:eastAsia="黑体"/>
          <w:bCs/>
          <w:kern w:val="0"/>
          <w:szCs w:val="21"/>
        </w:rPr>
        <w:t>证券代码：002042             证券简称：华孚时尚           公告编号：2023-51</w:t>
      </w:r>
    </w:p>
    <w:p>
      <w:pPr>
        <w:wordWrap w:val="0"/>
        <w:spacing w:line="440" w:lineRule="exact"/>
        <w:jc w:val="center"/>
        <w:rPr>
          <w:rFonts w:ascii="宋体" w:hAnsi="宋体"/>
          <w:b/>
          <w:bCs/>
          <w:sz w:val="24"/>
        </w:rPr>
      </w:pPr>
    </w:p>
    <w:p>
      <w:pPr>
        <w:wordWrap w:val="0"/>
        <w:spacing w:line="600" w:lineRule="exact"/>
        <w:jc w:val="center"/>
        <w:rPr>
          <w:b/>
          <w:bCs/>
          <w:sz w:val="36"/>
          <w:szCs w:val="32"/>
        </w:rPr>
      </w:pPr>
      <w:r>
        <w:rPr>
          <w:rFonts w:hint="eastAsia"/>
          <w:b/>
          <w:bCs/>
          <w:sz w:val="36"/>
          <w:szCs w:val="32"/>
        </w:rPr>
        <w:t>华孚时尚股份有限公司</w:t>
      </w:r>
    </w:p>
    <w:p>
      <w:pPr>
        <w:wordWrap w:val="0"/>
        <w:spacing w:line="600" w:lineRule="exact"/>
        <w:jc w:val="center"/>
        <w:rPr>
          <w:b/>
          <w:bCs/>
          <w:sz w:val="36"/>
          <w:szCs w:val="32"/>
        </w:rPr>
      </w:pPr>
      <w:r>
        <w:rPr>
          <w:rFonts w:hint="eastAsia"/>
          <w:b/>
          <w:bCs/>
          <w:sz w:val="36"/>
          <w:szCs w:val="32"/>
        </w:rPr>
        <w:t>关于公司为子公司期货交割库业务提供担保的公告</w:t>
      </w:r>
    </w:p>
    <w:p>
      <w:pPr>
        <w:wordWrap w:val="0"/>
        <w:spacing w:before="312" w:beforeLines="100" w:after="312" w:afterLines="100" w:line="400" w:lineRule="exact"/>
        <w:ind w:left="284" w:firstLine="482" w:firstLineChars="201"/>
        <w:rPr>
          <w:rFonts w:ascii="微软雅黑" w:hAnsi="微软雅黑" w:eastAsia="微软雅黑" w:cs="微软雅黑"/>
          <w:b/>
          <w:bCs/>
          <w:sz w:val="24"/>
          <w:shd w:val="clear" w:color="auto" w:fill="FFFFFF"/>
        </w:rPr>
      </w:pPr>
      <w:r>
        <w:rPr>
          <w:rFonts w:hint="eastAsia" w:ascii="华文楷体" w:hAnsi="华文楷体" w:eastAsia="华文楷体"/>
          <w:sz w:val="24"/>
        </w:rPr>
        <w:t>本公司及董事会全体成员保证信息披露的内容真实、准确、完整，没有虚假记载、误导性陈述或重大遗漏。</w:t>
      </w:r>
    </w:p>
    <w:p>
      <w:pPr>
        <w:pStyle w:val="8"/>
        <w:widowControl/>
        <w:shd w:val="clear" w:color="auto" w:fill="FFFFFF"/>
        <w:spacing w:beforeAutospacing="0" w:afterAutospacing="0" w:line="500" w:lineRule="exact"/>
        <w:ind w:firstLine="482" w:firstLineChars="200"/>
        <w:rPr>
          <w:rFonts w:ascii="宋体" w:hAnsi="宋体" w:eastAsia="宋体" w:cs="宋体"/>
          <w:b/>
          <w:bCs/>
          <w:shd w:val="clear" w:color="auto" w:fill="FFFFFF"/>
        </w:rPr>
      </w:pPr>
      <w:r>
        <w:rPr>
          <w:rFonts w:hint="eastAsia" w:ascii="宋体" w:hAnsi="宋体" w:eastAsia="宋体" w:cs="宋体"/>
          <w:b/>
          <w:bCs/>
          <w:shd w:val="clear" w:color="auto" w:fill="FFFFFF"/>
        </w:rPr>
        <w:t>特别提示：</w:t>
      </w:r>
    </w:p>
    <w:p>
      <w:pPr>
        <w:spacing w:line="500" w:lineRule="exact"/>
        <w:ind w:firstLine="480" w:firstLineChars="200"/>
        <w:jc w:val="left"/>
        <w:rPr>
          <w:rFonts w:asciiTheme="minorEastAsia" w:hAnsiTheme="minorEastAsia"/>
          <w:sz w:val="24"/>
          <w:shd w:val="clear" w:color="auto" w:fill="FFFFFF"/>
        </w:rPr>
      </w:pPr>
      <w:r>
        <w:rPr>
          <w:rFonts w:hint="eastAsia" w:asciiTheme="minorEastAsia" w:hAnsiTheme="minorEastAsia"/>
          <w:sz w:val="24"/>
          <w:shd w:val="clear" w:color="auto" w:fill="FFFFFF"/>
        </w:rPr>
        <w:t>华孚时尚股份有限公司（以下简称“公司”）于2023年9月19日召开第八届董事会2023年第三次临时会议、第八届监事会第十五次会议，审议通过了《关于公司为子公司期货交割库业务提供担保的议案》，同意公司为下属子公司阿克苏银星物流有限公司（以下简称“银星物流”）期货交割库业务提供担保。现将相关事宜公告如下：</w:t>
      </w:r>
    </w:p>
    <w:p>
      <w:pPr>
        <w:pStyle w:val="3"/>
        <w:widowControl/>
        <w:shd w:val="clear" w:color="auto" w:fill="FFFFFF"/>
        <w:spacing w:beforeAutospacing="0" w:afterAutospacing="0" w:line="500" w:lineRule="exact"/>
        <w:ind w:firstLine="482" w:firstLineChars="200"/>
        <w:rPr>
          <w:rFonts w:hint="default" w:cs="宋体"/>
        </w:rPr>
      </w:pPr>
      <w:r>
        <w:rPr>
          <w:rFonts w:cs="宋体"/>
          <w:shd w:val="clear" w:color="auto" w:fill="FFFFFF"/>
        </w:rPr>
        <w:t>一、担保情况概述</w:t>
      </w:r>
    </w:p>
    <w:p>
      <w:pPr>
        <w:pStyle w:val="4"/>
        <w:widowControl/>
        <w:shd w:val="clear" w:color="auto" w:fill="FFFFFF"/>
        <w:spacing w:beforeAutospacing="0" w:afterAutospacing="0" w:line="500" w:lineRule="exact"/>
        <w:ind w:firstLine="482" w:firstLineChars="200"/>
        <w:rPr>
          <w:rFonts w:hint="default" w:cs="宋体"/>
          <w:sz w:val="24"/>
          <w:szCs w:val="24"/>
        </w:rPr>
      </w:pPr>
      <w:r>
        <w:rPr>
          <w:rFonts w:cs="宋体"/>
          <w:sz w:val="24"/>
          <w:szCs w:val="24"/>
          <w:shd w:val="clear" w:color="auto" w:fill="FFFFFF"/>
        </w:rPr>
        <w:t>（一）为参与郑州商品交易所棉花期货交割库业务提供担保</w:t>
      </w:r>
    </w:p>
    <w:p>
      <w:pPr>
        <w:pStyle w:val="8"/>
        <w:widowControl/>
        <w:shd w:val="clear" w:color="auto" w:fill="FFFFFF"/>
        <w:spacing w:beforeAutospacing="0" w:afterAutospacing="0" w:line="500" w:lineRule="exact"/>
        <w:ind w:firstLine="480" w:firstLineChars="200"/>
        <w:rPr>
          <w:rFonts w:ascii="宋体" w:hAnsi="宋体" w:eastAsia="宋体" w:cs="宋体"/>
        </w:rPr>
      </w:pPr>
      <w:r>
        <w:rPr>
          <w:rFonts w:hint="eastAsia" w:ascii="宋体" w:hAnsi="宋体" w:eastAsia="宋体" w:cs="宋体"/>
          <w:shd w:val="clear" w:color="auto" w:fill="FFFFFF"/>
        </w:rPr>
        <w:t>根据业务开展需要，银星物流向郑州商品交易所（以下简称“郑商所”）申请棉花期货交割仓库资质，按照郑商所章程、业务办法等规定，公司对银星物流参与棉花期货交割等业务所应承担的一切责任，承担全额连带担保责任。担保期限自郑商所取得对交割仓库请求赔偿的权利之日起三年内。</w:t>
      </w:r>
    </w:p>
    <w:p>
      <w:pPr>
        <w:pStyle w:val="4"/>
        <w:widowControl/>
        <w:shd w:val="clear" w:color="auto" w:fill="FFFFFF"/>
        <w:spacing w:beforeAutospacing="0" w:afterAutospacing="0" w:line="500" w:lineRule="exact"/>
        <w:ind w:firstLine="482" w:firstLineChars="200"/>
        <w:rPr>
          <w:rFonts w:hint="default" w:cs="宋体"/>
          <w:sz w:val="24"/>
          <w:szCs w:val="24"/>
        </w:rPr>
      </w:pPr>
      <w:r>
        <w:rPr>
          <w:rFonts w:cs="宋体"/>
          <w:sz w:val="24"/>
          <w:szCs w:val="24"/>
          <w:shd w:val="clear" w:color="auto" w:fill="FFFFFF"/>
        </w:rPr>
        <w:t>（二）担保事项履行的内部决策程序</w:t>
      </w:r>
    </w:p>
    <w:p>
      <w:pPr>
        <w:pStyle w:val="8"/>
        <w:widowControl/>
        <w:shd w:val="clear" w:color="auto" w:fill="FFFFFF"/>
        <w:spacing w:beforeAutospacing="0" w:afterAutospacing="0" w:line="500" w:lineRule="exact"/>
        <w:ind w:firstLine="480" w:firstLineChars="200"/>
        <w:rPr>
          <w:rFonts w:ascii="宋体" w:hAnsi="宋体" w:eastAsia="宋体" w:cs="宋体"/>
        </w:rPr>
      </w:pPr>
      <w:r>
        <w:rPr>
          <w:rFonts w:hint="eastAsia" w:ascii="宋体" w:hAnsi="宋体" w:eastAsia="宋体" w:cs="宋体"/>
          <w:shd w:val="clear" w:color="auto" w:fill="FFFFFF"/>
        </w:rPr>
        <w:t>公司第八届董事会2023年第三次临时会议、第八届监事会第十五次会议审议通过了《关于为子公司期货交割库业务提供担保的议案》，该议案尚需提交公司股东大会审议。</w:t>
      </w:r>
    </w:p>
    <w:p>
      <w:pPr>
        <w:pStyle w:val="3"/>
        <w:widowControl/>
        <w:numPr>
          <w:ilvl w:val="0"/>
          <w:numId w:val="1"/>
        </w:numPr>
        <w:shd w:val="clear" w:color="auto" w:fill="FFFFFF"/>
        <w:spacing w:beforeAutospacing="0" w:afterAutospacing="0" w:line="500" w:lineRule="exact"/>
        <w:ind w:firstLine="482" w:firstLineChars="200"/>
        <w:rPr>
          <w:rFonts w:hint="default" w:cs="宋体"/>
          <w:shd w:val="clear" w:color="auto" w:fill="FFFFFF"/>
        </w:rPr>
      </w:pPr>
      <w:r>
        <w:rPr>
          <w:rFonts w:cs="宋体"/>
          <w:shd w:val="clear" w:color="auto" w:fill="FFFFFF"/>
        </w:rPr>
        <w:t>被担保子公司基本情况</w:t>
      </w:r>
    </w:p>
    <w:tbl>
      <w:tblPr>
        <w:tblStyle w:val="10"/>
        <w:tblW w:w="8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9"/>
        <w:gridCol w:w="7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9" w:type="dxa"/>
            <w:vAlign w:val="center"/>
          </w:tcPr>
          <w:p>
            <w:pPr>
              <w:rPr>
                <w:rFonts w:ascii="宋体" w:hAnsi="宋体" w:eastAsia="宋体" w:cs="宋体"/>
                <w:sz w:val="24"/>
              </w:rPr>
            </w:pPr>
            <w:r>
              <w:rPr>
                <w:rFonts w:hint="eastAsia" w:ascii="宋体" w:hAnsi="宋体" w:eastAsia="宋体" w:cs="宋体"/>
                <w:sz w:val="24"/>
              </w:rPr>
              <w:t>被担保人</w:t>
            </w:r>
          </w:p>
        </w:tc>
        <w:tc>
          <w:tcPr>
            <w:tcW w:w="7164" w:type="dxa"/>
          </w:tcPr>
          <w:p>
            <w:pPr>
              <w:rPr>
                <w:rFonts w:ascii="宋体" w:hAnsi="宋体" w:eastAsia="宋体" w:cs="宋体"/>
                <w:sz w:val="24"/>
              </w:rPr>
            </w:pPr>
            <w:r>
              <w:rPr>
                <w:rFonts w:hint="eastAsia" w:ascii="宋体" w:hAnsi="宋体" w:eastAsia="宋体" w:cs="宋体"/>
                <w:sz w:val="24"/>
              </w:rPr>
              <w:t>阿克苏银星物流有限公司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9" w:type="dxa"/>
            <w:vAlign w:val="center"/>
          </w:tcPr>
          <w:p>
            <w:pPr>
              <w:rPr>
                <w:rFonts w:ascii="宋体" w:hAnsi="宋体" w:eastAsia="宋体" w:cs="宋体"/>
                <w:sz w:val="24"/>
              </w:rPr>
            </w:pPr>
            <w:r>
              <w:rPr>
                <w:rFonts w:hint="eastAsia" w:ascii="宋体" w:hAnsi="宋体" w:eastAsia="宋体" w:cs="宋体"/>
                <w:sz w:val="24"/>
              </w:rPr>
              <w:t>注册地址</w:t>
            </w:r>
          </w:p>
        </w:tc>
        <w:tc>
          <w:tcPr>
            <w:tcW w:w="7164" w:type="dxa"/>
          </w:tcPr>
          <w:p>
            <w:pPr>
              <w:rPr>
                <w:rFonts w:ascii="宋体" w:hAnsi="宋体" w:eastAsia="宋体" w:cs="宋体"/>
                <w:sz w:val="24"/>
              </w:rPr>
            </w:pPr>
            <w:r>
              <w:rPr>
                <w:rFonts w:hint="eastAsia" w:ascii="宋体" w:hAnsi="宋体" w:eastAsia="宋体" w:cs="宋体"/>
                <w:sz w:val="24"/>
              </w:rPr>
              <w:t>新疆阿克苏地区阿克苏市实验林场管委会兴林社区5组2巷022号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9" w:type="dxa"/>
            <w:vAlign w:val="center"/>
          </w:tcPr>
          <w:p>
            <w:pPr>
              <w:rPr>
                <w:rFonts w:ascii="宋体" w:hAnsi="宋体" w:eastAsia="宋体" w:cs="宋体"/>
                <w:sz w:val="24"/>
              </w:rPr>
            </w:pPr>
            <w:r>
              <w:rPr>
                <w:rFonts w:hint="eastAsia" w:ascii="宋体" w:hAnsi="宋体" w:eastAsia="宋体" w:cs="宋体"/>
                <w:sz w:val="24"/>
              </w:rPr>
              <w:t>法定代表人</w:t>
            </w:r>
          </w:p>
        </w:tc>
        <w:tc>
          <w:tcPr>
            <w:tcW w:w="7164" w:type="dxa"/>
          </w:tcPr>
          <w:p>
            <w:pPr>
              <w:rPr>
                <w:rFonts w:ascii="宋体" w:hAnsi="宋体" w:eastAsia="宋体" w:cs="宋体"/>
                <w:sz w:val="24"/>
              </w:rPr>
            </w:pPr>
            <w:r>
              <w:rPr>
                <w:rFonts w:hint="eastAsia" w:ascii="宋体" w:hAnsi="宋体" w:eastAsia="宋体" w:cs="宋体"/>
                <w:sz w:val="24"/>
              </w:rPr>
              <w:t>孙小挺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9" w:type="dxa"/>
            <w:vAlign w:val="center"/>
          </w:tcPr>
          <w:p>
            <w:pPr>
              <w:rPr>
                <w:rFonts w:ascii="宋体" w:hAnsi="宋体" w:eastAsia="宋体" w:cs="宋体"/>
                <w:sz w:val="24"/>
              </w:rPr>
            </w:pPr>
            <w:r>
              <w:rPr>
                <w:rFonts w:hint="eastAsia" w:ascii="宋体" w:hAnsi="宋体" w:eastAsia="宋体" w:cs="宋体"/>
                <w:sz w:val="24"/>
              </w:rPr>
              <w:t>注册资本</w:t>
            </w:r>
          </w:p>
        </w:tc>
        <w:tc>
          <w:tcPr>
            <w:tcW w:w="7164" w:type="dxa"/>
          </w:tcPr>
          <w:p>
            <w:pPr>
              <w:rPr>
                <w:rFonts w:ascii="宋体" w:hAnsi="宋体" w:eastAsia="宋体" w:cs="宋体"/>
                <w:sz w:val="24"/>
              </w:rPr>
            </w:pPr>
            <w:r>
              <w:rPr>
                <w:rFonts w:hint="eastAsia" w:ascii="宋体" w:hAnsi="宋体" w:eastAsia="宋体" w:cs="宋体"/>
                <w:sz w:val="24"/>
              </w:rPr>
              <w:t>8,000万人民币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9" w:type="dxa"/>
            <w:vAlign w:val="center"/>
          </w:tcPr>
          <w:p>
            <w:pPr>
              <w:rPr>
                <w:rFonts w:ascii="宋体" w:hAnsi="宋体" w:eastAsia="宋体" w:cs="宋体"/>
                <w:sz w:val="24"/>
              </w:rPr>
            </w:pPr>
            <w:r>
              <w:rPr>
                <w:rFonts w:hint="eastAsia" w:ascii="宋体" w:hAnsi="宋体" w:eastAsia="宋体" w:cs="宋体"/>
                <w:sz w:val="24"/>
              </w:rPr>
              <w:t>经营范围</w:t>
            </w:r>
          </w:p>
        </w:tc>
        <w:tc>
          <w:tcPr>
            <w:tcW w:w="7164" w:type="dxa"/>
          </w:tcPr>
          <w:p>
            <w:pPr>
              <w:rPr>
                <w:rFonts w:ascii="宋体" w:hAnsi="宋体" w:eastAsia="宋体" w:cs="宋体"/>
                <w:sz w:val="24"/>
              </w:rPr>
            </w:pPr>
            <w:r>
              <w:rPr>
                <w:rFonts w:hint="eastAsia" w:ascii="宋体" w:hAnsi="宋体" w:eastAsia="宋体" w:cs="宋体"/>
                <w:sz w:val="24"/>
              </w:rPr>
              <w:t>许可项目：公共铁路运输；道路货物运输（不含危险货物）。（依法须经批准的项目，经相关部门批准后方可开展经营活动，具体经营项目以相关部门批准文件或许可证件为准）一般项目：棉花加工；棉花收购；棉花加工机械销售；道路货物运输站经营；棉、麻销售；食用农产品批发；食用农产品零售；农、林、牧、副、渔业专业机械的销售；产业用纺织制成品销售；日用杂品销售；普通货物仓储服务（不含危险化学品等需许可审批的项目）；国内货物运输代理；运输货物打包服务；国内集装箱货物运输代理；装卸搬运；租赁服务（不含许可类租赁服务）；日用百货销售；水产品批发；水产品零售；家用电器零配件销售；金属丝绳及其制品销售。（除依法须经批准的项目外，凭营业执照依法自主开展经营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9" w:type="dxa"/>
            <w:vAlign w:val="center"/>
          </w:tcPr>
          <w:p>
            <w:pPr>
              <w:rPr>
                <w:rFonts w:ascii="宋体" w:hAnsi="宋体" w:eastAsia="宋体" w:cs="宋体"/>
                <w:sz w:val="24"/>
              </w:rPr>
            </w:pPr>
            <w:r>
              <w:rPr>
                <w:rFonts w:hint="eastAsia" w:ascii="宋体" w:hAnsi="宋体" w:eastAsia="宋体" w:cs="宋体"/>
                <w:sz w:val="24"/>
              </w:rPr>
              <w:t>股东构成</w:t>
            </w:r>
          </w:p>
        </w:tc>
        <w:tc>
          <w:tcPr>
            <w:tcW w:w="7164" w:type="dxa"/>
          </w:tcPr>
          <w:p>
            <w:pPr>
              <w:numPr>
                <w:ilvl w:val="0"/>
                <w:numId w:val="2"/>
              </w:numPr>
              <w:rPr>
                <w:rFonts w:ascii="宋体" w:hAnsi="宋体" w:eastAsia="宋体" w:cs="宋体"/>
                <w:sz w:val="24"/>
              </w:rPr>
            </w:pPr>
            <w:r>
              <w:rPr>
                <w:rFonts w:hint="eastAsia" w:ascii="宋体" w:hAnsi="宋体" w:eastAsia="宋体" w:cs="宋体"/>
                <w:sz w:val="24"/>
              </w:rPr>
              <w:t>新疆华孚棉业集团有限公司持有40.80%股份；</w:t>
            </w:r>
          </w:p>
          <w:p>
            <w:pPr>
              <w:numPr>
                <w:ilvl w:val="0"/>
                <w:numId w:val="2"/>
              </w:numPr>
              <w:rPr>
                <w:rFonts w:ascii="宋体" w:hAnsi="宋体" w:eastAsia="宋体" w:cs="宋体"/>
                <w:sz w:val="24"/>
              </w:rPr>
            </w:pPr>
            <w:r>
              <w:rPr>
                <w:rFonts w:hint="eastAsia" w:ascii="宋体" w:hAnsi="宋体" w:eastAsia="宋体" w:cs="宋体"/>
                <w:sz w:val="24"/>
              </w:rPr>
              <w:t>舟山汇泽实业有限公司持有39.20%股份；</w:t>
            </w:r>
          </w:p>
          <w:p>
            <w:pPr>
              <w:numPr>
                <w:ilvl w:val="0"/>
                <w:numId w:val="2"/>
              </w:numPr>
              <w:rPr>
                <w:rFonts w:ascii="宋体" w:hAnsi="宋体" w:eastAsia="宋体" w:cs="宋体"/>
                <w:sz w:val="24"/>
              </w:rPr>
            </w:pPr>
            <w:r>
              <w:rPr>
                <w:rFonts w:hint="eastAsia" w:ascii="宋体" w:hAnsi="宋体" w:eastAsia="宋体" w:cs="宋体"/>
                <w:sz w:val="24"/>
              </w:rPr>
              <w:t>吉安供应链管理淮安有限公司持有20.00%股份。</w:t>
            </w:r>
          </w:p>
        </w:tc>
      </w:tr>
    </w:tbl>
    <w:p>
      <w:pPr>
        <w:pStyle w:val="8"/>
        <w:widowControl/>
        <w:shd w:val="clear" w:color="auto" w:fill="FFFFFF"/>
        <w:spacing w:before="240" w:beforeAutospacing="0" w:afterAutospacing="0" w:line="500" w:lineRule="exact"/>
        <w:rPr>
          <w:rFonts w:ascii="宋体" w:hAnsi="宋体" w:eastAsia="宋体" w:cs="宋体"/>
          <w:shd w:val="clear" w:color="auto" w:fill="FFFFFF"/>
        </w:rPr>
      </w:pPr>
      <w:r>
        <w:rPr>
          <w:rFonts w:hint="eastAsia" w:ascii="宋体" w:hAnsi="宋体" w:eastAsia="宋体" w:cs="宋体"/>
          <w:shd w:val="clear" w:color="auto" w:fill="FFFFFF"/>
        </w:rPr>
        <w:t>最近一年一期主要经营数据如下：</w:t>
      </w:r>
    </w:p>
    <w:p>
      <w:pPr>
        <w:pStyle w:val="8"/>
        <w:widowControl/>
        <w:shd w:val="clear" w:color="auto" w:fill="FFFFFF"/>
        <w:spacing w:beforeAutospacing="0" w:afterAutospacing="0"/>
        <w:jc w:val="right"/>
        <w:rPr>
          <w:rFonts w:ascii="宋体" w:hAnsi="宋体" w:eastAsia="宋体" w:cs="宋体"/>
          <w:shd w:val="clear" w:color="auto" w:fill="FFFFFF"/>
        </w:rPr>
      </w:pPr>
      <w:r>
        <w:rPr>
          <w:rFonts w:hint="eastAsia" w:ascii="宋体" w:hAnsi="宋体" w:eastAsia="宋体" w:cs="宋体"/>
          <w:shd w:val="clear" w:color="auto" w:fill="FFFFFF"/>
        </w:rPr>
        <w:t>单位:人民币万元</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pStyle w:val="8"/>
              <w:widowControl/>
              <w:spacing w:beforeAutospacing="0" w:afterAutospacing="0"/>
              <w:jc w:val="center"/>
              <w:rPr>
                <w:rFonts w:ascii="宋体" w:hAnsi="宋体" w:eastAsia="宋体" w:cs="宋体"/>
                <w:b/>
                <w:bCs/>
                <w:shd w:val="clear" w:color="auto" w:fill="FFFFFF"/>
              </w:rPr>
            </w:pPr>
            <w:r>
              <w:rPr>
                <w:rFonts w:hint="eastAsia" w:ascii="宋体" w:hAnsi="宋体" w:eastAsia="宋体" w:cs="宋体"/>
                <w:b/>
                <w:bCs/>
                <w:shd w:val="clear" w:color="auto" w:fill="FFFFFF"/>
              </w:rPr>
              <w:t>项目</w:t>
            </w:r>
          </w:p>
        </w:tc>
        <w:tc>
          <w:tcPr>
            <w:tcW w:w="2841" w:type="dxa"/>
            <w:vAlign w:val="center"/>
          </w:tcPr>
          <w:p>
            <w:pPr>
              <w:pStyle w:val="8"/>
              <w:widowControl/>
              <w:spacing w:beforeAutospacing="0" w:afterAutospacing="0"/>
              <w:jc w:val="center"/>
              <w:rPr>
                <w:rFonts w:ascii="宋体" w:hAnsi="宋体" w:eastAsia="宋体" w:cs="宋体"/>
                <w:b/>
                <w:bCs/>
                <w:shd w:val="clear" w:color="auto" w:fill="FFFFFF"/>
              </w:rPr>
            </w:pPr>
            <w:r>
              <w:rPr>
                <w:rFonts w:hint="eastAsia" w:ascii="宋体" w:hAnsi="宋体" w:eastAsia="宋体" w:cs="宋体"/>
                <w:b/>
                <w:bCs/>
                <w:shd w:val="clear" w:color="auto" w:fill="FFFFFF"/>
              </w:rPr>
              <w:t>2022年（经过审计）</w:t>
            </w:r>
          </w:p>
        </w:tc>
        <w:tc>
          <w:tcPr>
            <w:tcW w:w="2841" w:type="dxa"/>
            <w:vAlign w:val="center"/>
          </w:tcPr>
          <w:p>
            <w:pPr>
              <w:pStyle w:val="8"/>
              <w:widowControl/>
              <w:spacing w:beforeAutospacing="0" w:afterAutospacing="0"/>
              <w:jc w:val="center"/>
              <w:rPr>
                <w:rFonts w:ascii="宋体" w:hAnsi="宋体" w:eastAsia="宋体" w:cs="宋体"/>
                <w:b/>
                <w:bCs/>
                <w:shd w:val="clear" w:color="auto" w:fill="FFFFFF"/>
              </w:rPr>
            </w:pPr>
            <w:r>
              <w:rPr>
                <w:rFonts w:hint="eastAsia" w:ascii="宋体" w:hAnsi="宋体" w:eastAsia="宋体" w:cs="宋体"/>
                <w:b/>
                <w:bCs/>
                <w:shd w:val="clear" w:color="auto" w:fill="FFFFFF"/>
              </w:rPr>
              <w:t>2023年6月（未经审计）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pStyle w:val="8"/>
              <w:widowControl/>
              <w:spacing w:beforeAutospacing="0" w:afterAutospacing="0"/>
              <w:rPr>
                <w:rFonts w:ascii="宋体" w:hAnsi="宋体" w:eastAsia="宋体" w:cs="宋体"/>
                <w:shd w:val="clear" w:color="auto" w:fill="FFFFFF"/>
              </w:rPr>
            </w:pPr>
            <w:r>
              <w:rPr>
                <w:rFonts w:hint="eastAsia" w:ascii="宋体" w:hAnsi="宋体" w:eastAsia="宋体" w:cs="宋体"/>
                <w:shd w:val="clear" w:color="auto" w:fill="FFFFFF"/>
              </w:rPr>
              <w:t>资产总额</w:t>
            </w:r>
          </w:p>
        </w:tc>
        <w:tc>
          <w:tcPr>
            <w:tcW w:w="2841" w:type="dxa"/>
          </w:tcPr>
          <w:p>
            <w:pPr>
              <w:pStyle w:val="8"/>
              <w:widowControl/>
              <w:spacing w:beforeAutospacing="0" w:afterAutospacing="0"/>
              <w:jc w:val="right"/>
              <w:rPr>
                <w:rFonts w:ascii="宋体" w:hAnsi="宋体" w:eastAsia="宋体" w:cs="宋体"/>
                <w:shd w:val="clear" w:color="auto" w:fill="FFFFFF"/>
              </w:rPr>
            </w:pPr>
            <w:r>
              <w:rPr>
                <w:rFonts w:hint="eastAsia" w:ascii="宋体" w:hAnsi="宋体" w:eastAsia="宋体" w:cs="宋体"/>
                <w:shd w:val="clear" w:color="auto" w:fill="FFFFFF"/>
              </w:rPr>
              <w:t>14,001.46</w:t>
            </w:r>
          </w:p>
        </w:tc>
        <w:tc>
          <w:tcPr>
            <w:tcW w:w="2841" w:type="dxa"/>
          </w:tcPr>
          <w:p>
            <w:pPr>
              <w:pStyle w:val="8"/>
              <w:widowControl/>
              <w:spacing w:beforeAutospacing="0" w:afterAutospacing="0"/>
              <w:jc w:val="right"/>
              <w:rPr>
                <w:rFonts w:ascii="宋体" w:hAnsi="宋体" w:eastAsia="宋体" w:cs="宋体"/>
                <w:shd w:val="clear" w:color="auto" w:fill="FFFFFF"/>
              </w:rPr>
            </w:pPr>
            <w:r>
              <w:rPr>
                <w:rFonts w:hint="eastAsia" w:ascii="宋体" w:hAnsi="宋体" w:eastAsia="宋体" w:cs="宋体"/>
                <w:shd w:val="clear" w:color="auto" w:fill="FFFFFF"/>
              </w:rPr>
              <w:t>13,607.89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pStyle w:val="8"/>
              <w:widowControl/>
              <w:spacing w:beforeAutospacing="0" w:afterAutospacing="0"/>
              <w:rPr>
                <w:rFonts w:ascii="宋体" w:hAnsi="宋体" w:eastAsia="宋体" w:cs="宋体"/>
                <w:shd w:val="clear" w:color="auto" w:fill="FFFFFF"/>
              </w:rPr>
            </w:pPr>
            <w:r>
              <w:rPr>
                <w:rFonts w:hint="eastAsia" w:ascii="宋体" w:hAnsi="宋体" w:eastAsia="宋体" w:cs="宋体"/>
                <w:shd w:val="clear" w:color="auto" w:fill="FFFFFF"/>
              </w:rPr>
              <w:t>负债总额</w:t>
            </w:r>
          </w:p>
        </w:tc>
        <w:tc>
          <w:tcPr>
            <w:tcW w:w="2841" w:type="dxa"/>
          </w:tcPr>
          <w:p>
            <w:pPr>
              <w:pStyle w:val="8"/>
              <w:widowControl/>
              <w:spacing w:beforeAutospacing="0" w:afterAutospacing="0"/>
              <w:jc w:val="right"/>
              <w:rPr>
                <w:rFonts w:ascii="宋体" w:hAnsi="宋体" w:eastAsia="宋体" w:cs="宋体"/>
                <w:shd w:val="clear" w:color="auto" w:fill="FFFFFF"/>
              </w:rPr>
            </w:pPr>
            <w:r>
              <w:rPr>
                <w:rFonts w:hint="eastAsia" w:ascii="宋体" w:hAnsi="宋体" w:eastAsia="宋体" w:cs="宋体"/>
                <w:shd w:val="clear" w:color="auto" w:fill="FFFFFF"/>
              </w:rPr>
              <w:t>1,179.32</w:t>
            </w:r>
          </w:p>
        </w:tc>
        <w:tc>
          <w:tcPr>
            <w:tcW w:w="2841" w:type="dxa"/>
          </w:tcPr>
          <w:p>
            <w:pPr>
              <w:pStyle w:val="8"/>
              <w:widowControl/>
              <w:spacing w:beforeAutospacing="0" w:afterAutospacing="0"/>
              <w:jc w:val="right"/>
              <w:rPr>
                <w:rFonts w:ascii="宋体" w:hAnsi="宋体" w:eastAsia="宋体" w:cs="宋体"/>
                <w:shd w:val="clear" w:color="auto" w:fill="FFFFFF"/>
              </w:rPr>
            </w:pPr>
            <w:r>
              <w:rPr>
                <w:rFonts w:hint="eastAsia" w:ascii="宋体" w:hAnsi="宋体" w:eastAsia="宋体" w:cs="宋体"/>
                <w:shd w:val="clear" w:color="auto" w:fill="FFFFFF"/>
              </w:rPr>
              <w:t>1,706.78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pStyle w:val="8"/>
              <w:widowControl/>
              <w:spacing w:beforeAutospacing="0" w:afterAutospacing="0"/>
              <w:rPr>
                <w:rFonts w:ascii="宋体" w:hAnsi="宋体" w:eastAsia="宋体" w:cs="宋体"/>
                <w:shd w:val="clear" w:color="auto" w:fill="FFFFFF"/>
              </w:rPr>
            </w:pPr>
            <w:r>
              <w:rPr>
                <w:rFonts w:hint="eastAsia" w:ascii="宋体" w:hAnsi="宋体" w:eastAsia="宋体" w:cs="宋体"/>
                <w:shd w:val="clear" w:color="auto" w:fill="FFFFFF"/>
              </w:rPr>
              <w:t>净资产</w:t>
            </w:r>
          </w:p>
        </w:tc>
        <w:tc>
          <w:tcPr>
            <w:tcW w:w="2841" w:type="dxa"/>
          </w:tcPr>
          <w:p>
            <w:pPr>
              <w:pStyle w:val="8"/>
              <w:widowControl/>
              <w:spacing w:beforeAutospacing="0" w:afterAutospacing="0"/>
              <w:jc w:val="right"/>
              <w:rPr>
                <w:rFonts w:ascii="宋体" w:hAnsi="宋体" w:eastAsia="宋体" w:cs="宋体"/>
                <w:shd w:val="clear" w:color="auto" w:fill="FFFFFF"/>
              </w:rPr>
            </w:pPr>
            <w:r>
              <w:rPr>
                <w:rFonts w:hint="eastAsia" w:ascii="宋体" w:hAnsi="宋体" w:eastAsia="宋体" w:cs="宋体"/>
                <w:shd w:val="clear" w:color="auto" w:fill="FFFFFF"/>
              </w:rPr>
              <w:t>12,822.14</w:t>
            </w:r>
          </w:p>
        </w:tc>
        <w:tc>
          <w:tcPr>
            <w:tcW w:w="2841" w:type="dxa"/>
          </w:tcPr>
          <w:p>
            <w:pPr>
              <w:pStyle w:val="8"/>
              <w:widowControl/>
              <w:spacing w:beforeAutospacing="0" w:afterAutospacing="0"/>
              <w:jc w:val="right"/>
              <w:rPr>
                <w:rFonts w:ascii="宋体" w:hAnsi="宋体" w:eastAsia="宋体" w:cs="宋体"/>
                <w:shd w:val="clear" w:color="auto" w:fill="FFFFFF"/>
              </w:rPr>
            </w:pPr>
            <w:r>
              <w:rPr>
                <w:rFonts w:hint="eastAsia" w:ascii="宋体" w:hAnsi="宋体" w:eastAsia="宋体" w:cs="宋体"/>
                <w:shd w:val="clear" w:color="auto" w:fill="FFFFFF"/>
              </w:rPr>
              <w:t>11,901.11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pStyle w:val="8"/>
              <w:widowControl/>
              <w:spacing w:beforeAutospacing="0" w:afterAutospacing="0"/>
              <w:rPr>
                <w:rFonts w:ascii="宋体" w:hAnsi="宋体" w:eastAsia="宋体" w:cs="宋体"/>
                <w:shd w:val="clear" w:color="auto" w:fill="FFFFFF"/>
              </w:rPr>
            </w:pPr>
            <w:r>
              <w:rPr>
                <w:rFonts w:hint="eastAsia" w:ascii="宋体" w:hAnsi="宋体" w:eastAsia="宋体" w:cs="宋体"/>
                <w:shd w:val="clear" w:color="auto" w:fill="FFFFFF"/>
              </w:rPr>
              <w:t>营业收入</w:t>
            </w:r>
          </w:p>
        </w:tc>
        <w:tc>
          <w:tcPr>
            <w:tcW w:w="2841" w:type="dxa"/>
          </w:tcPr>
          <w:p>
            <w:pPr>
              <w:pStyle w:val="8"/>
              <w:widowControl/>
              <w:spacing w:beforeAutospacing="0" w:afterAutospacing="0"/>
              <w:jc w:val="right"/>
              <w:rPr>
                <w:rFonts w:ascii="宋体" w:hAnsi="宋体" w:eastAsia="宋体" w:cs="宋体"/>
                <w:shd w:val="clear" w:color="auto" w:fill="FFFFFF"/>
              </w:rPr>
            </w:pPr>
            <w:r>
              <w:rPr>
                <w:rFonts w:hint="eastAsia" w:ascii="宋体" w:hAnsi="宋体" w:eastAsia="宋体" w:cs="宋体"/>
                <w:shd w:val="clear" w:color="auto" w:fill="FFFFFF"/>
              </w:rPr>
              <w:t>2,272.37</w:t>
            </w:r>
          </w:p>
        </w:tc>
        <w:tc>
          <w:tcPr>
            <w:tcW w:w="2841" w:type="dxa"/>
          </w:tcPr>
          <w:p>
            <w:pPr>
              <w:pStyle w:val="8"/>
              <w:widowControl/>
              <w:spacing w:beforeAutospacing="0" w:afterAutospacing="0"/>
              <w:jc w:val="right"/>
              <w:rPr>
                <w:rFonts w:ascii="宋体" w:hAnsi="宋体" w:eastAsia="宋体" w:cs="宋体"/>
                <w:shd w:val="clear" w:color="auto" w:fill="FFFFFF"/>
              </w:rPr>
            </w:pPr>
            <w:r>
              <w:rPr>
                <w:rFonts w:hint="eastAsia" w:ascii="宋体" w:hAnsi="宋体" w:eastAsia="宋体" w:cs="宋体"/>
                <w:shd w:val="clear" w:color="auto" w:fill="FFFFFF"/>
              </w:rPr>
              <w:t>1,299.36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pStyle w:val="8"/>
              <w:widowControl/>
              <w:spacing w:beforeAutospacing="0" w:afterAutospacing="0"/>
              <w:rPr>
                <w:rFonts w:ascii="宋体" w:hAnsi="宋体" w:eastAsia="宋体" w:cs="宋体"/>
                <w:shd w:val="clear" w:color="auto" w:fill="FFFFFF"/>
              </w:rPr>
            </w:pPr>
            <w:r>
              <w:rPr>
                <w:rFonts w:hint="eastAsia" w:ascii="宋体" w:hAnsi="宋体" w:eastAsia="宋体" w:cs="宋体"/>
                <w:shd w:val="clear" w:color="auto" w:fill="FFFFFF"/>
              </w:rPr>
              <w:t>利润总额</w:t>
            </w:r>
          </w:p>
        </w:tc>
        <w:tc>
          <w:tcPr>
            <w:tcW w:w="2841" w:type="dxa"/>
          </w:tcPr>
          <w:p>
            <w:pPr>
              <w:pStyle w:val="8"/>
              <w:widowControl/>
              <w:spacing w:beforeAutospacing="0" w:afterAutospacing="0"/>
              <w:jc w:val="right"/>
              <w:rPr>
                <w:rFonts w:ascii="宋体" w:hAnsi="宋体" w:eastAsia="宋体" w:cs="宋体"/>
                <w:shd w:val="clear" w:color="auto" w:fill="FFFFFF"/>
              </w:rPr>
            </w:pPr>
            <w:r>
              <w:rPr>
                <w:rFonts w:hint="eastAsia" w:ascii="宋体" w:hAnsi="宋体" w:eastAsia="宋体" w:cs="宋体"/>
                <w:shd w:val="clear" w:color="auto" w:fill="FFFFFF"/>
              </w:rPr>
              <w:t>1,182.83</w:t>
            </w:r>
          </w:p>
        </w:tc>
        <w:tc>
          <w:tcPr>
            <w:tcW w:w="2841" w:type="dxa"/>
          </w:tcPr>
          <w:p>
            <w:pPr>
              <w:pStyle w:val="8"/>
              <w:widowControl/>
              <w:spacing w:beforeAutospacing="0" w:afterAutospacing="0"/>
              <w:jc w:val="right"/>
              <w:rPr>
                <w:rFonts w:ascii="宋体" w:hAnsi="宋体" w:eastAsia="宋体" w:cs="宋体"/>
                <w:shd w:val="clear" w:color="auto" w:fill="FFFFFF"/>
              </w:rPr>
            </w:pPr>
            <w:r>
              <w:rPr>
                <w:rFonts w:hint="eastAsia" w:ascii="宋体" w:hAnsi="宋体" w:eastAsia="宋体" w:cs="宋体"/>
                <w:shd w:val="clear" w:color="auto" w:fill="FFFFFF"/>
              </w:rPr>
              <w:t>256.67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pStyle w:val="8"/>
              <w:widowControl/>
              <w:spacing w:beforeAutospacing="0" w:afterAutospacing="0"/>
              <w:rPr>
                <w:rFonts w:ascii="宋体" w:hAnsi="宋体" w:eastAsia="宋体" w:cs="宋体"/>
                <w:shd w:val="clear" w:color="auto" w:fill="FFFFFF"/>
              </w:rPr>
            </w:pPr>
            <w:r>
              <w:rPr>
                <w:rFonts w:hint="eastAsia" w:ascii="宋体" w:hAnsi="宋体" w:eastAsia="宋体" w:cs="宋体"/>
                <w:shd w:val="clear" w:color="auto" w:fill="FFFFFF"/>
              </w:rPr>
              <w:t>净利润</w:t>
            </w:r>
          </w:p>
        </w:tc>
        <w:tc>
          <w:tcPr>
            <w:tcW w:w="2841" w:type="dxa"/>
          </w:tcPr>
          <w:p>
            <w:pPr>
              <w:pStyle w:val="8"/>
              <w:widowControl/>
              <w:spacing w:beforeAutospacing="0" w:afterAutospacing="0"/>
              <w:jc w:val="right"/>
              <w:rPr>
                <w:rFonts w:ascii="宋体" w:hAnsi="宋体" w:eastAsia="宋体" w:cs="宋体"/>
                <w:shd w:val="clear" w:color="auto" w:fill="FFFFFF"/>
              </w:rPr>
            </w:pPr>
            <w:r>
              <w:rPr>
                <w:rFonts w:hint="eastAsia" w:ascii="宋体" w:hAnsi="宋体" w:eastAsia="宋体" w:cs="宋体"/>
                <w:shd w:val="clear" w:color="auto" w:fill="FFFFFF"/>
              </w:rPr>
              <w:t>872.16</w:t>
            </w:r>
          </w:p>
        </w:tc>
        <w:tc>
          <w:tcPr>
            <w:tcW w:w="2841" w:type="dxa"/>
          </w:tcPr>
          <w:p>
            <w:pPr>
              <w:pStyle w:val="8"/>
              <w:widowControl/>
              <w:spacing w:beforeAutospacing="0" w:afterAutospacing="0"/>
              <w:jc w:val="right"/>
              <w:rPr>
                <w:rFonts w:ascii="宋体" w:hAnsi="宋体" w:eastAsia="宋体" w:cs="宋体"/>
                <w:shd w:val="clear" w:color="auto" w:fill="FFFFFF"/>
              </w:rPr>
            </w:pPr>
            <w:r>
              <w:rPr>
                <w:rFonts w:hint="eastAsia" w:ascii="宋体" w:hAnsi="宋体" w:eastAsia="宋体" w:cs="宋体"/>
                <w:shd w:val="clear" w:color="auto" w:fill="FFFFFF"/>
              </w:rPr>
              <w:t>187.49</w:t>
            </w:r>
          </w:p>
        </w:tc>
      </w:tr>
    </w:tbl>
    <w:p>
      <w:pPr>
        <w:pStyle w:val="3"/>
        <w:widowControl/>
        <w:shd w:val="clear" w:color="auto" w:fill="FFFFFF"/>
        <w:spacing w:beforeAutospacing="0" w:afterAutospacing="0" w:line="500" w:lineRule="exact"/>
        <w:ind w:firstLine="482" w:firstLineChars="200"/>
        <w:rPr>
          <w:rFonts w:hint="default" w:cs="宋体"/>
        </w:rPr>
      </w:pPr>
      <w:r>
        <w:rPr>
          <w:rFonts w:cs="宋体"/>
          <w:shd w:val="clear" w:color="auto" w:fill="FFFFFF"/>
        </w:rPr>
        <w:t>三、董事会意见</w:t>
      </w:r>
    </w:p>
    <w:p>
      <w:pPr>
        <w:pStyle w:val="8"/>
        <w:widowControl/>
        <w:shd w:val="clear" w:color="auto" w:fill="FFFFFF"/>
        <w:spacing w:beforeAutospacing="0" w:afterAutospacing="0" w:line="500" w:lineRule="exact"/>
        <w:ind w:firstLine="480" w:firstLineChars="200"/>
        <w:rPr>
          <w:rFonts w:ascii="宋体" w:hAnsi="宋体" w:eastAsia="宋体" w:cs="宋体"/>
          <w:shd w:val="clear" w:color="auto" w:fill="FFFFFF"/>
        </w:rPr>
      </w:pPr>
      <w:r>
        <w:rPr>
          <w:rFonts w:hint="eastAsia" w:ascii="宋体" w:hAnsi="宋体" w:eastAsia="宋体" w:cs="宋体"/>
          <w:shd w:val="clear" w:color="auto" w:fill="FFFFFF"/>
        </w:rPr>
        <w:t>公司董事会认为，上述担保事项系为满足公司子公司业务发展的需要，符合公司整体利益和发展战略，本次担保的被担保方为公司控股子公司。本次担保不存在反担保，控股子公司的资产管理人员和经营人员均由公司统一控制，公司在担保期内有能力对被担保方的经营管理风险进行控制，财务风险处于公司可控的范围之内，不会影响公司的正常经营，同时，公司将对上述子公司经营情况、负债率变化等事项进行持续监控与管理，被担保方不属于失信被执行人。</w:t>
      </w:r>
    </w:p>
    <w:p>
      <w:pPr>
        <w:pStyle w:val="8"/>
        <w:widowControl/>
        <w:shd w:val="clear" w:color="auto" w:fill="FFFFFF"/>
        <w:spacing w:beforeAutospacing="0" w:afterAutospacing="0" w:line="500" w:lineRule="exact"/>
        <w:ind w:firstLine="482" w:firstLineChars="200"/>
        <w:rPr>
          <w:rFonts w:ascii="宋体" w:hAnsi="宋体" w:eastAsia="宋体" w:cs="宋体"/>
          <w:b/>
          <w:bCs/>
          <w:shd w:val="clear" w:color="auto" w:fill="FFFFFF"/>
          <w:lang w:bidi="ar"/>
        </w:rPr>
      </w:pPr>
      <w:r>
        <w:rPr>
          <w:rFonts w:hint="eastAsia" w:ascii="宋体" w:hAnsi="宋体" w:eastAsia="宋体" w:cs="宋体"/>
          <w:b/>
          <w:bCs/>
          <w:shd w:val="clear" w:color="auto" w:fill="FFFFFF"/>
          <w:lang w:bidi="ar"/>
        </w:rPr>
        <w:t>四、独立董事意见</w:t>
      </w:r>
    </w:p>
    <w:p>
      <w:pPr>
        <w:spacing w:line="500" w:lineRule="exact"/>
        <w:ind w:firstLine="480" w:firstLineChars="200"/>
        <w:rPr>
          <w:rFonts w:ascii="宋体" w:hAnsi="宋体" w:eastAsia="宋体" w:cs="宋体"/>
          <w:sz w:val="24"/>
        </w:rPr>
      </w:pPr>
      <w:r>
        <w:rPr>
          <w:rFonts w:hint="eastAsia" w:ascii="宋体" w:hAnsi="宋体" w:eastAsia="宋体" w:cs="宋体"/>
          <w:sz w:val="24"/>
          <w:shd w:val="clear" w:color="auto" w:fill="FFFFFF"/>
        </w:rPr>
        <w:t>经审议，独立董事认为，公司为公司控股子公司提供担保是基于公司控股子公司实际业务开展的需要，有助于公司提高经营效率，没有损害公司及公司股东尤其是中小股东的利益。并按相关审议程序进行审议，满足法律法规的相关要求。我们一致同意该事项。</w:t>
      </w:r>
    </w:p>
    <w:p>
      <w:pPr>
        <w:pStyle w:val="8"/>
        <w:widowControl/>
        <w:numPr>
          <w:ilvl w:val="0"/>
          <w:numId w:val="3"/>
        </w:numPr>
        <w:shd w:val="clear" w:color="auto" w:fill="FFFFFF"/>
        <w:spacing w:beforeAutospacing="0" w:afterAutospacing="0" w:line="500" w:lineRule="exact"/>
        <w:ind w:firstLine="482" w:firstLineChars="200"/>
        <w:rPr>
          <w:rFonts w:ascii="宋体" w:hAnsi="宋体" w:eastAsia="宋体" w:cs="宋体"/>
          <w:b/>
          <w:bCs/>
          <w:shd w:val="clear" w:color="auto" w:fill="FFFFFF"/>
          <w:lang w:bidi="ar"/>
        </w:rPr>
      </w:pPr>
      <w:r>
        <w:rPr>
          <w:rFonts w:hint="eastAsia" w:ascii="宋体" w:hAnsi="宋体" w:eastAsia="宋体" w:cs="宋体"/>
          <w:b/>
          <w:bCs/>
          <w:shd w:val="clear" w:color="auto" w:fill="FFFFFF"/>
          <w:lang w:bidi="ar"/>
        </w:rPr>
        <w:t>对外担保累计金额及逾期担保的累计金额</w:t>
      </w:r>
    </w:p>
    <w:p>
      <w:pPr>
        <w:pStyle w:val="8"/>
        <w:widowControl/>
        <w:shd w:val="clear" w:color="auto" w:fill="FFFFFF"/>
        <w:spacing w:beforeAutospacing="0" w:afterAutospacing="0" w:line="500" w:lineRule="exact"/>
        <w:ind w:firstLine="480" w:firstLineChars="200"/>
        <w:rPr>
          <w:rFonts w:ascii="宋体" w:hAnsi="宋体" w:eastAsia="宋体" w:cs="宋体"/>
          <w:kern w:val="2"/>
          <w:highlight w:val="none"/>
          <w:shd w:val="clear" w:color="auto" w:fill="FFFFFF"/>
        </w:rPr>
      </w:pPr>
      <w:r>
        <w:rPr>
          <w:rFonts w:hint="eastAsia" w:ascii="宋体" w:hAnsi="宋体" w:eastAsia="宋体" w:cs="宋体"/>
          <w:kern w:val="2"/>
          <w:highlight w:val="none"/>
          <w:shd w:val="clear" w:color="auto" w:fill="FFFFFF"/>
        </w:rPr>
        <w:t>截止本公告披露日，公司累计担保余额为49.</w:t>
      </w:r>
      <w:r>
        <w:rPr>
          <w:rFonts w:hint="eastAsia" w:ascii="宋体" w:hAnsi="宋体" w:eastAsia="宋体" w:cs="宋体"/>
          <w:kern w:val="2"/>
          <w:highlight w:val="none"/>
          <w:shd w:val="clear" w:color="auto" w:fill="FFFFFF"/>
          <w:lang w:val="en-US" w:eastAsia="zh-CN"/>
        </w:rPr>
        <w:t>75</w:t>
      </w:r>
      <w:r>
        <w:rPr>
          <w:rFonts w:hint="eastAsia" w:ascii="宋体" w:hAnsi="宋体" w:eastAsia="宋体" w:cs="宋体"/>
          <w:kern w:val="2"/>
          <w:highlight w:val="none"/>
          <w:shd w:val="clear" w:color="auto" w:fill="FFFFFF"/>
        </w:rPr>
        <w:t>亿元，并全部为对控股子公司的担保,占上市公司最近一期经审计净资产的</w:t>
      </w:r>
      <w:r>
        <w:rPr>
          <w:rFonts w:hint="eastAsia" w:ascii="宋体" w:hAnsi="宋体" w:eastAsia="宋体" w:cs="宋体"/>
          <w:kern w:val="2"/>
          <w:highlight w:val="none"/>
          <w:shd w:val="clear" w:color="auto" w:fill="FFFFFF"/>
          <w:lang w:val="en-US" w:eastAsia="zh-CN"/>
        </w:rPr>
        <w:t>79.06</w:t>
      </w:r>
      <w:r>
        <w:rPr>
          <w:rFonts w:hint="eastAsia" w:ascii="宋体" w:hAnsi="宋体" w:eastAsia="宋体" w:cs="宋体"/>
          <w:kern w:val="2"/>
          <w:highlight w:val="none"/>
          <w:shd w:val="clear" w:color="auto" w:fill="FFFFFF"/>
        </w:rPr>
        <w:t>%。公司不存在任何逾期担保的情况。</w:t>
      </w:r>
    </w:p>
    <w:p>
      <w:pPr>
        <w:pStyle w:val="2"/>
        <w:widowControl/>
        <w:shd w:val="clear" w:color="auto" w:fill="FFFFFF"/>
        <w:spacing w:beforeAutospacing="0" w:afterAutospacing="0" w:line="500" w:lineRule="exact"/>
        <w:ind w:firstLine="482" w:firstLineChars="200"/>
        <w:rPr>
          <w:rFonts w:hint="default" w:cs="宋体"/>
          <w:sz w:val="24"/>
          <w:szCs w:val="24"/>
          <w:shd w:val="clear" w:color="auto" w:fill="FFFFFF"/>
          <w:lang w:bidi="ar"/>
        </w:rPr>
      </w:pPr>
      <w:r>
        <w:rPr>
          <w:rFonts w:cs="宋体"/>
          <w:sz w:val="24"/>
          <w:szCs w:val="24"/>
          <w:shd w:val="clear" w:color="auto" w:fill="FFFFFF"/>
          <w:lang w:bidi="ar"/>
        </w:rPr>
        <w:t>六、备查文件</w:t>
      </w:r>
    </w:p>
    <w:p>
      <w:pPr>
        <w:pStyle w:val="8"/>
        <w:widowControl/>
        <w:shd w:val="clear" w:color="auto" w:fill="FFFFFF"/>
        <w:spacing w:beforeAutospacing="0" w:afterAutospacing="0" w:line="500" w:lineRule="exact"/>
        <w:ind w:firstLine="480" w:firstLineChars="200"/>
        <w:rPr>
          <w:rFonts w:ascii="宋体" w:hAnsi="宋体" w:eastAsia="宋体" w:cs="宋体"/>
          <w:kern w:val="2"/>
          <w:shd w:val="clear" w:color="auto" w:fill="FFFFFF"/>
        </w:rPr>
      </w:pPr>
      <w:r>
        <w:rPr>
          <w:rFonts w:hint="eastAsia" w:ascii="宋体" w:hAnsi="宋体" w:eastAsia="宋体" w:cs="宋体"/>
          <w:kern w:val="2"/>
          <w:shd w:val="clear" w:color="auto" w:fill="FFFFFF"/>
        </w:rPr>
        <w:t>1、公司第八届董事会2023年第三次临时会议决议；</w:t>
      </w:r>
      <w:bookmarkStart w:id="0" w:name="_GoBack"/>
      <w:bookmarkEnd w:id="0"/>
    </w:p>
    <w:p>
      <w:pPr>
        <w:pStyle w:val="8"/>
        <w:widowControl/>
        <w:shd w:val="clear" w:color="auto" w:fill="FFFFFF"/>
        <w:spacing w:beforeAutospacing="0" w:afterAutospacing="0" w:line="500" w:lineRule="exact"/>
        <w:ind w:firstLine="480" w:firstLineChars="200"/>
        <w:rPr>
          <w:rFonts w:ascii="宋体" w:hAnsi="宋体" w:eastAsia="宋体" w:cs="宋体"/>
          <w:kern w:val="2"/>
          <w:shd w:val="clear" w:color="auto" w:fill="FFFFFF"/>
        </w:rPr>
      </w:pPr>
      <w:r>
        <w:rPr>
          <w:rFonts w:hint="eastAsia" w:ascii="宋体" w:hAnsi="宋体" w:eastAsia="宋体" w:cs="宋体"/>
          <w:kern w:val="2"/>
          <w:shd w:val="clear" w:color="auto" w:fill="FFFFFF"/>
        </w:rPr>
        <w:t>2、公司第八届监事会第十五次会议决议；</w:t>
      </w:r>
    </w:p>
    <w:p>
      <w:pPr>
        <w:pStyle w:val="8"/>
        <w:widowControl/>
        <w:shd w:val="clear" w:color="auto" w:fill="FFFFFF"/>
        <w:spacing w:beforeAutospacing="0" w:afterAutospacing="0" w:line="500" w:lineRule="exact"/>
        <w:ind w:firstLine="480" w:firstLineChars="200"/>
        <w:rPr>
          <w:rFonts w:ascii="宋体" w:hAnsi="宋体" w:eastAsia="宋体" w:cs="宋体"/>
          <w:kern w:val="2"/>
          <w:shd w:val="clear" w:color="auto" w:fill="FFFFFF"/>
        </w:rPr>
      </w:pPr>
      <w:r>
        <w:rPr>
          <w:rFonts w:hint="eastAsia" w:ascii="宋体" w:hAnsi="宋体" w:eastAsia="宋体" w:cs="宋体"/>
          <w:kern w:val="2"/>
          <w:shd w:val="clear" w:color="auto" w:fill="FFFFFF"/>
        </w:rPr>
        <w:t>3、独立董事关于公司第八届董事会2023年第三次临时会议相关事项的独立意见。</w:t>
      </w:r>
    </w:p>
    <w:p>
      <w:pPr>
        <w:pStyle w:val="8"/>
        <w:widowControl/>
        <w:shd w:val="clear" w:color="auto" w:fill="FFFFFF"/>
        <w:spacing w:beforeAutospacing="0" w:afterAutospacing="0" w:line="500" w:lineRule="exact"/>
        <w:ind w:firstLine="480" w:firstLineChars="200"/>
        <w:rPr>
          <w:rFonts w:ascii="宋体" w:hAnsi="宋体" w:eastAsia="宋体" w:cs="宋体"/>
          <w:shd w:val="clear" w:color="auto" w:fill="FFFFFF"/>
        </w:rPr>
      </w:pPr>
      <w:r>
        <w:rPr>
          <w:rFonts w:hint="eastAsia" w:ascii="宋体" w:hAnsi="宋体" w:eastAsia="宋体" w:cs="宋体"/>
          <w:shd w:val="clear" w:color="auto" w:fill="FFFFFF"/>
        </w:rPr>
        <w:t>特此公告。</w:t>
      </w:r>
    </w:p>
    <w:p>
      <w:pPr>
        <w:spacing w:line="500" w:lineRule="exact"/>
        <w:jc w:val="right"/>
        <w:rPr>
          <w:rFonts w:cs="Times New Roman" w:asciiTheme="minorEastAsia" w:hAnsiTheme="minorEastAsia"/>
          <w:sz w:val="24"/>
        </w:rPr>
      </w:pPr>
      <w:r>
        <w:rPr>
          <w:rFonts w:hint="eastAsia" w:cs="Times New Roman" w:asciiTheme="minorEastAsia" w:hAnsiTheme="minorEastAsia"/>
          <w:sz w:val="24"/>
        </w:rPr>
        <w:t>华孚时尚股份有限公司董事会</w:t>
      </w:r>
    </w:p>
    <w:p>
      <w:pPr>
        <w:jc w:val="right"/>
      </w:pPr>
      <w:r>
        <w:rPr>
          <w:rFonts w:hint="eastAsia" w:cs="Times New Roman" w:asciiTheme="minorEastAsia" w:hAnsiTheme="minorEastAsia"/>
          <w:sz w:val="24"/>
        </w:rPr>
        <w:t>二〇二三年九月二十日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angal">
    <w:panose1 w:val="02040503050203030202"/>
    <w:charset w:val="00"/>
    <w:family w:val="roman"/>
    <w:pitch w:val="default"/>
    <w:sig w:usb0="00008003" w:usb1="00000000" w:usb2="00000000" w:usb3="00000000" w:csb0="00000001" w:csb1="00000000"/>
  </w:font>
  <w:font w:name="微软雅黑">
    <w:panose1 w:val="020B0503020204020204"/>
    <w:charset w:val="86"/>
    <w:family w:val="swiss"/>
    <w:pitch w:val="default"/>
    <w:sig w:usb0="80000287" w:usb1="280F3C52" w:usb2="00000016" w:usb3="00000000" w:csb0="0004001F" w:csb1="00000000"/>
  </w:font>
  <w:font w:name="华文楷体">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E6EAD2"/>
    <w:multiLevelType w:val="singleLevel"/>
    <w:tmpl w:val="8AE6EAD2"/>
    <w:lvl w:ilvl="0" w:tentative="0">
      <w:start w:val="2"/>
      <w:numFmt w:val="chineseCounting"/>
      <w:suff w:val="nothing"/>
      <w:lvlText w:val="%1、"/>
      <w:lvlJc w:val="left"/>
      <w:rPr>
        <w:rFonts w:hint="eastAsia"/>
      </w:rPr>
    </w:lvl>
  </w:abstractNum>
  <w:abstractNum w:abstractNumId="1">
    <w:nsid w:val="DD4D0C5E"/>
    <w:multiLevelType w:val="singleLevel"/>
    <w:tmpl w:val="DD4D0C5E"/>
    <w:lvl w:ilvl="0" w:tentative="0">
      <w:start w:val="1"/>
      <w:numFmt w:val="decimal"/>
      <w:suff w:val="nothing"/>
      <w:lvlText w:val="%1、"/>
      <w:lvlJc w:val="left"/>
    </w:lvl>
  </w:abstractNum>
  <w:abstractNum w:abstractNumId="2">
    <w:nsid w:val="E698F086"/>
    <w:multiLevelType w:val="singleLevel"/>
    <w:tmpl w:val="E698F086"/>
    <w:lvl w:ilvl="0" w:tentative="0">
      <w:start w:val="5"/>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VlODY1MzA0YjNiZDMyMmRlYTlhMDJhYzZhZDQ5ODgifQ=="/>
  </w:docVars>
  <w:rsids>
    <w:rsidRoot w:val="0C9A424E"/>
    <w:rsid w:val="003462CF"/>
    <w:rsid w:val="0035231D"/>
    <w:rsid w:val="006027A1"/>
    <w:rsid w:val="00982930"/>
    <w:rsid w:val="04D1736D"/>
    <w:rsid w:val="0C9A424E"/>
    <w:rsid w:val="10740829"/>
    <w:rsid w:val="11B22917"/>
    <w:rsid w:val="24661CBD"/>
    <w:rsid w:val="33F2380A"/>
    <w:rsid w:val="5B5B04A6"/>
    <w:rsid w:val="67DC3DF5"/>
    <w:rsid w:val="72E72D01"/>
    <w:rsid w:val="796432FD"/>
    <w:rsid w:val="7EAA47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Autospacing="1" w:afterAutospacing="1"/>
      <w:jc w:val="left"/>
      <w:outlineLvl w:val="2"/>
    </w:pPr>
    <w:rPr>
      <w:rFonts w:hint="eastAsia" w:ascii="宋体" w:hAnsi="宋体" w:eastAsia="宋体" w:cs="Times New Roman"/>
      <w:b/>
      <w:bCs/>
      <w:kern w:val="0"/>
      <w:sz w:val="27"/>
      <w:szCs w:val="27"/>
    </w:rPr>
  </w:style>
  <w:style w:type="paragraph" w:styleId="3">
    <w:name w:val="heading 4"/>
    <w:basedOn w:val="1"/>
    <w:next w:val="1"/>
    <w:semiHidden/>
    <w:unhideWhenUsed/>
    <w:qFormat/>
    <w:uiPriority w:val="0"/>
    <w:pPr>
      <w:spacing w:beforeAutospacing="1" w:afterAutospacing="1"/>
      <w:jc w:val="left"/>
      <w:outlineLvl w:val="3"/>
    </w:pPr>
    <w:rPr>
      <w:rFonts w:hint="eastAsia" w:ascii="宋体" w:hAnsi="宋体" w:eastAsia="宋体" w:cs="Times New Roman"/>
      <w:b/>
      <w:bCs/>
      <w:kern w:val="0"/>
      <w:sz w:val="24"/>
    </w:rPr>
  </w:style>
  <w:style w:type="paragraph" w:styleId="4">
    <w:name w:val="heading 5"/>
    <w:basedOn w:val="1"/>
    <w:next w:val="1"/>
    <w:semiHidden/>
    <w:unhideWhenUsed/>
    <w:qFormat/>
    <w:uiPriority w:val="0"/>
    <w:pPr>
      <w:spacing w:beforeAutospacing="1" w:afterAutospacing="1"/>
      <w:jc w:val="left"/>
      <w:outlineLvl w:val="4"/>
    </w:pPr>
    <w:rPr>
      <w:rFonts w:hint="eastAsia" w:ascii="宋体" w:hAnsi="宋体" w:eastAsia="宋体" w:cs="Times New Roman"/>
      <w:b/>
      <w:bCs/>
      <w:kern w:val="0"/>
      <w:sz w:val="20"/>
      <w:szCs w:val="20"/>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Body Text Indent 2"/>
    <w:basedOn w:val="1"/>
    <w:unhideWhenUsed/>
    <w:qFormat/>
    <w:uiPriority w:val="99"/>
    <w:pPr>
      <w:spacing w:after="120" w:line="480" w:lineRule="auto"/>
      <w:ind w:left="420" w:leftChars="200"/>
    </w:pPr>
    <w:rPr>
      <w:rFonts w:cs="Mangal"/>
      <w:szCs w:val="21"/>
    </w:rPr>
  </w:style>
  <w:style w:type="paragraph" w:styleId="6">
    <w:name w:val="footer"/>
    <w:basedOn w:val="1"/>
    <w:link w:val="13"/>
    <w:qFormat/>
    <w:uiPriority w:val="0"/>
    <w:pPr>
      <w:tabs>
        <w:tab w:val="center" w:pos="4153"/>
        <w:tab w:val="right" w:pos="8306"/>
      </w:tabs>
      <w:snapToGrid w:val="0"/>
      <w:jc w:val="left"/>
    </w:pPr>
    <w:rPr>
      <w:sz w:val="18"/>
      <w:szCs w:val="18"/>
    </w:rPr>
  </w:style>
  <w:style w:type="paragraph" w:styleId="7">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Autospacing="1" w:afterAutospacing="1"/>
      <w:jc w:val="left"/>
    </w:pPr>
    <w:rPr>
      <w:rFonts w:cs="Times New Roman"/>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页眉 Char"/>
    <w:basedOn w:val="11"/>
    <w:link w:val="7"/>
    <w:qFormat/>
    <w:uiPriority w:val="0"/>
    <w:rPr>
      <w:rFonts w:asciiTheme="minorHAnsi" w:hAnsiTheme="minorHAnsi" w:eastAsiaTheme="minorEastAsia" w:cstheme="minorBidi"/>
      <w:kern w:val="2"/>
      <w:sz w:val="18"/>
      <w:szCs w:val="18"/>
    </w:rPr>
  </w:style>
  <w:style w:type="character" w:customStyle="1" w:styleId="13">
    <w:name w:val="页脚 Char"/>
    <w:basedOn w:val="11"/>
    <w:link w:val="6"/>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1571</Words>
  <Characters>235</Characters>
  <Lines>1</Lines>
  <Paragraphs>3</Paragraphs>
  <TotalTime>27</TotalTime>
  <ScaleCrop>false</ScaleCrop>
  <LinksUpToDate>false</LinksUpToDate>
  <CharactersWithSpaces>1803</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2023-09-18T09:21:00Z</dcterms:created>
  <dc:creator>WSY</dc:creator>
  <cp:lastModifiedBy>WSY</cp:lastModifiedBy>
  <dcterms:modified xsi:type="dcterms:W3CDTF">2023-09-19T09:11:43Z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7F5DA71E265645C296848C3FB653C74F_11</vt:lpwstr>
  </property>
</Properties>
</file>