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szCs w:val="21"/>
        </w:rPr>
      </w:pPr>
      <w:r>
        <w:rPr>
          <w:rFonts w:hint="eastAsia" w:ascii="黑体" w:hAnsi="黑体" w:eastAsia="黑体"/>
          <w:szCs w:val="21"/>
        </w:rPr>
        <w:t>证券代码：002042              证券简称：华孚时尚               公告编号：2023-34</w:t>
      </w:r>
    </w:p>
    <w:p>
      <w:pPr>
        <w:spacing w:line="200" w:lineRule="exact"/>
        <w:ind w:firstLine="422" w:firstLineChars="200"/>
        <w:jc w:val="center"/>
        <w:rPr>
          <w:rFonts w:asciiTheme="minorEastAsia" w:hAnsiTheme="minorEastAsia"/>
          <w:b/>
          <w:szCs w:val="24"/>
        </w:rPr>
      </w:pPr>
    </w:p>
    <w:p>
      <w:pPr>
        <w:spacing w:before="156" w:beforeLines="50" w:after="156" w:afterLines="50" w:line="500" w:lineRule="exact"/>
        <w:jc w:val="center"/>
        <w:rPr>
          <w:rFonts w:asciiTheme="minorEastAsia" w:hAnsiTheme="minorEastAsia"/>
          <w:b/>
          <w:sz w:val="36"/>
          <w:szCs w:val="24"/>
        </w:rPr>
      </w:pPr>
      <w:r>
        <w:rPr>
          <w:rFonts w:hint="eastAsia" w:asciiTheme="minorEastAsia" w:hAnsiTheme="minorEastAsia"/>
          <w:b/>
          <w:sz w:val="36"/>
          <w:szCs w:val="24"/>
        </w:rPr>
        <w:t>华孚时尚股份有限公司</w:t>
      </w:r>
    </w:p>
    <w:p>
      <w:pPr>
        <w:widowControl/>
        <w:spacing w:line="360" w:lineRule="auto"/>
        <w:jc w:val="center"/>
        <w:rPr>
          <w:rFonts w:hint="eastAsia" w:asciiTheme="minorEastAsia" w:hAnsiTheme="minorEastAsia"/>
          <w:b/>
          <w:sz w:val="36"/>
          <w:szCs w:val="24"/>
          <w:lang w:eastAsia="zh-CN"/>
        </w:rPr>
      </w:pPr>
      <w:r>
        <w:rPr>
          <w:rFonts w:hint="eastAsia" w:asciiTheme="minorEastAsia" w:hAnsiTheme="minorEastAsia"/>
          <w:b/>
          <w:sz w:val="36"/>
          <w:szCs w:val="24"/>
        </w:rPr>
        <w:t>关于2023年回购公司股份方案</w:t>
      </w:r>
      <w:r>
        <w:rPr>
          <w:rFonts w:hint="eastAsia" w:asciiTheme="minorEastAsia" w:hAnsiTheme="minorEastAsia"/>
          <w:b/>
          <w:sz w:val="36"/>
          <w:szCs w:val="24"/>
          <w:lang w:eastAsia="zh-CN"/>
        </w:rPr>
        <w:t>实施完毕</w:t>
      </w:r>
    </w:p>
    <w:p>
      <w:pPr>
        <w:widowControl/>
        <w:spacing w:line="360" w:lineRule="auto"/>
        <w:jc w:val="center"/>
        <w:rPr>
          <w:rFonts w:asciiTheme="minorEastAsia" w:hAnsiTheme="minorEastAsia"/>
          <w:b/>
          <w:sz w:val="36"/>
          <w:szCs w:val="24"/>
        </w:rPr>
      </w:pPr>
      <w:bookmarkStart w:id="0" w:name="_GoBack"/>
      <w:bookmarkEnd w:id="0"/>
      <w:r>
        <w:rPr>
          <w:rFonts w:hint="eastAsia" w:asciiTheme="minorEastAsia" w:hAnsiTheme="minorEastAsia"/>
          <w:b/>
          <w:sz w:val="36"/>
          <w:szCs w:val="24"/>
        </w:rPr>
        <w:t>暨股份变动的公告</w:t>
      </w:r>
    </w:p>
    <w:p>
      <w:pPr>
        <w:spacing w:line="200" w:lineRule="exact"/>
        <w:jc w:val="left"/>
        <w:rPr>
          <w:rFonts w:cs="宋体" w:asciiTheme="minorEastAsia" w:hAnsiTheme="minorEastAsia"/>
          <w:color w:val="000000"/>
          <w:kern w:val="0"/>
          <w:sz w:val="2"/>
          <w:szCs w:val="24"/>
        </w:rPr>
      </w:pPr>
      <w:r>
        <w:rPr>
          <w:rFonts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1"/>
        </w:rPr>
        <w:t xml:space="preserve">   </w:t>
      </w:r>
      <w:r>
        <w:rPr>
          <w:rFonts w:hint="eastAsia" w:cs="宋体" w:asciiTheme="minorEastAsia" w:hAnsiTheme="minorEastAsia"/>
          <w:color w:val="000000"/>
          <w:kern w:val="0"/>
          <w:sz w:val="2"/>
          <w:szCs w:val="24"/>
        </w:rPr>
        <w:t xml:space="preserve"> </w:t>
      </w:r>
    </w:p>
    <w:p>
      <w:pPr>
        <w:spacing w:line="500" w:lineRule="exact"/>
        <w:ind w:firstLine="440" w:firstLineChars="200"/>
        <w:jc w:val="left"/>
        <w:rPr>
          <w:rFonts w:ascii="华文楷体" w:hAnsi="华文楷体" w:eastAsia="华文楷体" w:cs="宋体"/>
          <w:color w:val="000000"/>
          <w:kern w:val="0"/>
          <w:sz w:val="22"/>
          <w:szCs w:val="24"/>
        </w:rPr>
      </w:pPr>
      <w:r>
        <w:rPr>
          <w:rFonts w:hint="eastAsia" w:ascii="华文楷体" w:hAnsi="华文楷体" w:eastAsia="华文楷体" w:cs="宋体"/>
          <w:color w:val="000000"/>
          <w:kern w:val="0"/>
          <w:sz w:val="22"/>
          <w:szCs w:val="24"/>
        </w:rPr>
        <w:t>本公司及董事会全体成员保证本公告内容的真实、准确和完整，没有虚假记载、误导性陈述或重大遗漏。</w:t>
      </w:r>
    </w:p>
    <w:p>
      <w:pPr>
        <w:spacing w:line="200" w:lineRule="exact"/>
        <w:ind w:firstLine="480" w:firstLineChars="200"/>
        <w:jc w:val="left"/>
        <w:rPr>
          <w:rFonts w:asciiTheme="minorEastAsia" w:hAnsiTheme="minorEastAsia"/>
          <w:sz w:val="24"/>
          <w:szCs w:val="24"/>
        </w:rPr>
      </w:pPr>
    </w:p>
    <w:p>
      <w:pPr>
        <w:spacing w:line="50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华孚时尚股份有限公司（以下简称</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公司</w:t>
      </w:r>
      <w:r>
        <w:rPr>
          <w:rFonts w:cs="宋体" w:asciiTheme="minorEastAsia" w:hAnsiTheme="minorEastAsia"/>
          <w:color w:val="000000"/>
          <w:kern w:val="0"/>
          <w:sz w:val="24"/>
          <w:szCs w:val="24"/>
        </w:rPr>
        <w:t>”</w:t>
      </w:r>
      <w:r>
        <w:rPr>
          <w:rFonts w:hint="eastAsia" w:cs="宋体" w:asciiTheme="minorEastAsia" w:hAnsiTheme="minorEastAsia"/>
          <w:color w:val="000000"/>
          <w:kern w:val="0"/>
          <w:sz w:val="24"/>
          <w:szCs w:val="24"/>
        </w:rPr>
        <w:t>）于2023年3月17日召开第八届董事会2023年第一次临时会议，审议通过了《</w:t>
      </w:r>
      <w:r>
        <w:rPr>
          <w:rFonts w:hint="eastAsia" w:cs="宋体" w:asciiTheme="minorEastAsia" w:hAnsiTheme="minorEastAsia"/>
          <w:kern w:val="0"/>
          <w:sz w:val="24"/>
          <w:szCs w:val="24"/>
        </w:rPr>
        <w:t>关于2023年回购公司股份方案的议案</w:t>
      </w:r>
      <w:r>
        <w:rPr>
          <w:rFonts w:hint="eastAsia" w:cs="宋体" w:asciiTheme="minorEastAsia" w:hAnsiTheme="minorEastAsia"/>
          <w:color w:val="000000"/>
          <w:kern w:val="0"/>
          <w:sz w:val="24"/>
          <w:szCs w:val="24"/>
        </w:rPr>
        <w:t>》，公司</w:t>
      </w:r>
      <w:r>
        <w:rPr>
          <w:rFonts w:hint="eastAsia" w:cs="宋体" w:asciiTheme="minorEastAsia" w:hAnsiTheme="minorEastAsia"/>
          <w:kern w:val="0"/>
          <w:sz w:val="24"/>
          <w:szCs w:val="24"/>
        </w:rPr>
        <w:t>拟使用自有资金以集中竞价交易方式回购已发行的人民币普通股（A股）股份，回购股份用于维护公司价值及股东权益，后续将按相关规定予以出售。回购总金额为不低于人民币10,000万元,不超过人民币20,000万元，回购价格不超过4.60元</w:t>
      </w:r>
      <w:r>
        <w:rPr>
          <w:rFonts w:cs="宋体" w:asciiTheme="minorEastAsia" w:hAnsiTheme="minorEastAsia"/>
          <w:kern w:val="0"/>
          <w:sz w:val="24"/>
          <w:szCs w:val="24"/>
        </w:rPr>
        <w:t>/</w:t>
      </w:r>
      <w:r>
        <w:rPr>
          <w:rFonts w:hint="eastAsia" w:cs="宋体" w:asciiTheme="minorEastAsia" w:hAnsiTheme="minorEastAsia"/>
          <w:kern w:val="0"/>
          <w:sz w:val="24"/>
          <w:szCs w:val="24"/>
        </w:rPr>
        <w:t>股，回购股份的实施期限为自董事会审议通过本次回购股份方案之日起不超过三个月。</w:t>
      </w:r>
      <w:r>
        <w:rPr>
          <w:rFonts w:hint="eastAsia" w:cs="宋体" w:asciiTheme="minorEastAsia" w:hAnsiTheme="minorEastAsia"/>
          <w:color w:val="000000"/>
          <w:kern w:val="0"/>
          <w:sz w:val="24"/>
          <w:szCs w:val="24"/>
        </w:rPr>
        <w:t>详见公司于</w:t>
      </w:r>
      <w:r>
        <w:rPr>
          <w:rFonts w:cs="宋体" w:asciiTheme="minorEastAsia" w:hAnsiTheme="minorEastAsia"/>
          <w:color w:val="000000"/>
          <w:kern w:val="0"/>
          <w:sz w:val="24"/>
          <w:szCs w:val="24"/>
        </w:rPr>
        <w:t>20</w:t>
      </w:r>
      <w:r>
        <w:rPr>
          <w:rFonts w:hint="eastAsia" w:cs="宋体" w:asciiTheme="minorEastAsia" w:hAnsiTheme="minorEastAsia"/>
          <w:color w:val="000000"/>
          <w:kern w:val="0"/>
          <w:sz w:val="24"/>
          <w:szCs w:val="24"/>
        </w:rPr>
        <w:t>23年3月18日刊登在《中国证券报》、《证券时报》及巨潮资讯网</w:t>
      </w:r>
      <w:r>
        <w:rPr>
          <w:rFonts w:asciiTheme="minorEastAsia" w:hAnsiTheme="minorEastAsia"/>
          <w:sz w:val="24"/>
          <w:szCs w:val="24"/>
        </w:rPr>
        <w:t>（www.cninfo.com.cn</w:t>
      </w:r>
      <w:r>
        <w:rPr>
          <w:rFonts w:hint="eastAsia" w:cs="宋体" w:asciiTheme="minorEastAsia" w:hAnsiTheme="minorEastAsia"/>
          <w:color w:val="000000"/>
          <w:kern w:val="0"/>
          <w:sz w:val="24"/>
          <w:szCs w:val="24"/>
        </w:rPr>
        <w:t>）上的</w:t>
      </w:r>
      <w:r>
        <w:rPr>
          <w:rFonts w:hint="eastAsia" w:asciiTheme="minorEastAsia" w:hAnsiTheme="minorEastAsia"/>
          <w:kern w:val="0"/>
          <w:sz w:val="24"/>
          <w:szCs w:val="24"/>
        </w:rPr>
        <w:t>《关于2023年回购公司股份方案的公告》（2023-07）</w:t>
      </w:r>
      <w:r>
        <w:rPr>
          <w:rFonts w:hint="eastAsia" w:cs="宋体" w:asciiTheme="minorEastAsia" w:hAnsiTheme="minorEastAsia"/>
          <w:color w:val="000000"/>
          <w:kern w:val="0"/>
          <w:sz w:val="24"/>
          <w:szCs w:val="24"/>
        </w:rPr>
        <w:t>。</w:t>
      </w:r>
      <w:r>
        <w:rPr>
          <w:rFonts w:cs="宋体" w:asciiTheme="minorEastAsia" w:hAnsiTheme="minorEastAsia"/>
          <w:color w:val="000000"/>
          <w:kern w:val="0"/>
          <w:sz w:val="24"/>
          <w:szCs w:val="24"/>
        </w:rPr>
        <w:t xml:space="preserve"> </w:t>
      </w:r>
    </w:p>
    <w:p>
      <w:pPr>
        <w:spacing w:line="50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截至目前，公司已实施完成上述股份回购事项，现将有关内容公告如下：</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一、回购公司股份进展的情况</w:t>
      </w:r>
    </w:p>
    <w:p>
      <w:pPr>
        <w:pStyle w:val="9"/>
        <w:spacing w:line="500" w:lineRule="exact"/>
        <w:ind w:firstLine="480" w:firstLineChars="200"/>
        <w:jc w:val="both"/>
        <w:rPr>
          <w:rFonts w:asciiTheme="minorEastAsia" w:hAnsiTheme="minorEastAsia"/>
        </w:rPr>
      </w:pPr>
      <w:r>
        <w:rPr>
          <w:rFonts w:hint="eastAsia" w:asciiTheme="minorEastAsia" w:hAnsiTheme="minorEastAsia" w:eastAsiaTheme="minorEastAsia"/>
        </w:rPr>
        <w:t>1、2023年3月20日，公司通过股份回购专用证券账户以集中竞价方式实施了首次回购，回购股份数量38,000股，占公司目前总股本的0.00%。最高成交价格3.15/股，最低成交价格3.13元/股，成交总金额为118,940元（不含手续费）。具体详见2023年3月21日公司于</w:t>
      </w:r>
      <w:r>
        <w:rPr>
          <w:rFonts w:hint="eastAsia" w:asciiTheme="minorEastAsia" w:hAnsiTheme="minorEastAsia"/>
        </w:rPr>
        <w:t>《中国证券报》、《证券时报》及巨潮资讯网</w:t>
      </w:r>
      <w:r>
        <w:rPr>
          <w:rFonts w:asciiTheme="minorEastAsia" w:hAnsiTheme="minorEastAsia"/>
        </w:rPr>
        <w:t>（www.cninfo.com.cn</w:t>
      </w:r>
      <w:r>
        <w:rPr>
          <w:rFonts w:hint="eastAsia" w:asciiTheme="minorEastAsia" w:hAnsiTheme="minorEastAsia"/>
        </w:rPr>
        <w:t>）披露的《关于2023年回购公司股份方案首次回购的公告》（2023-11）。</w:t>
      </w:r>
    </w:p>
    <w:p>
      <w:pPr>
        <w:pStyle w:val="9"/>
        <w:spacing w:line="500" w:lineRule="exact"/>
        <w:ind w:firstLine="48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根据</w:t>
      </w:r>
      <w:r>
        <w:rPr>
          <w:rFonts w:hint="eastAsia" w:asciiTheme="minorEastAsia" w:hAnsiTheme="minorEastAsia" w:eastAsiaTheme="minorEastAsia"/>
        </w:rPr>
        <w:t>《深圳证券交易所上市公司自律监管指引第9号——回购股份》等法律法规、规范性文件的有关规定，公司应当在</w:t>
      </w:r>
      <w:r>
        <w:rPr>
          <w:rFonts w:asciiTheme="minorEastAsia" w:hAnsiTheme="minorEastAsia" w:eastAsiaTheme="minorEastAsia"/>
        </w:rPr>
        <w:t>每个月的前三个交易日内披露截至上月末的回购进展情况</w:t>
      </w:r>
      <w:r>
        <w:rPr>
          <w:rFonts w:hint="eastAsia" w:asciiTheme="minorEastAsia" w:hAnsiTheme="minorEastAsia" w:eastAsiaTheme="minorEastAsia"/>
        </w:rPr>
        <w:t>，公司回购股份进展具体详见公司分别于2023年4月6日、2023年5月6日、2023年6月2日披露的《关于2023年回购公司股份进展的公告》。</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3、截至2023年6月6日，公司回购股份比例达到公司已发行总股数的1.04%，</w:t>
      </w:r>
      <w:r>
        <w:rPr>
          <w:rFonts w:cs="宋体" w:asciiTheme="minorEastAsia" w:hAnsiTheme="minorEastAsia"/>
          <w:color w:val="000000"/>
          <w:kern w:val="0"/>
          <w:sz w:val="24"/>
          <w:szCs w:val="24"/>
        </w:rPr>
        <w:t>根据</w:t>
      </w:r>
      <w:r>
        <w:rPr>
          <w:rFonts w:hint="eastAsia" w:cs="宋体" w:asciiTheme="minorEastAsia" w:hAnsiTheme="minorEastAsia"/>
          <w:color w:val="000000"/>
          <w:kern w:val="0"/>
          <w:sz w:val="24"/>
          <w:szCs w:val="24"/>
        </w:rPr>
        <w:t>《深圳证券交易所上市公司自律监管指引第9号——回购股份》等法律法规、规范性文件的有关规定，回购股份占上市公司总股本的比例每增加1%，应当在事实发生之日起3日内予以披露。具体详见公司于2023年6月7日披露的《关于2023年回购公司股份比例达到1%暨回购股份进展公告》（2023-32）。</w:t>
      </w:r>
    </w:p>
    <w:p>
      <w:pPr>
        <w:autoSpaceDE w:val="0"/>
        <w:autoSpaceDN w:val="0"/>
        <w:adjustRightInd w:val="0"/>
        <w:spacing w:line="500" w:lineRule="exact"/>
        <w:ind w:firstLine="480" w:firstLineChars="200"/>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截至2023年6月16日，公司本次股份回购已完成。在回购期间，公司通过股份回购专用证券账户以集中竞价交易方式累计回购公司股票31,275,314股，占公司总股本的1.84%（以公司截止2023年6月16日总股本1,700,681,355股为基准），实际回购期间为2023年3月20日至2023年6月16日，其中最高成交价为3.28元/股，最低成交价为3.12元/股，成交总金额为人民100,128,238.70元（不含交易费用）。</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5、本次回购符合相关法律法规的要求，符合公司既定的回购方案，本次回购股份方案已实施完毕。</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二、回购股份实施情况与回购股份方案不存在差异的说明</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司实施回购股份的资金总额、回购价格、回购股份数量、比例及回购实施期限等均符合公司董事会审议通过的回购股份方案。公司回购金额已超过回购股份方案中的回购金额下限，且未超过回购金额上限，已按披露的回购股份方案完成回购，实际执行情况与披露的回购股份方案不存在差异。</w:t>
      </w:r>
    </w:p>
    <w:p>
      <w:pPr>
        <w:numPr>
          <w:ilvl w:val="0"/>
          <w:numId w:val="1"/>
        </w:num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股份变动情况</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截至本公告披露日，本次回购股份均存放于公司回购专用证券账户。本次回购的股份用途为维护公司价值及股东权益，后续将按相关规定予以出售。如公司在回购股份后按既定用途成功实施，总股本不会变化。公司如在股份回购完成之后36个月内未能实施上述用途，或所回购的股份未全部用于上述用途，未使用的部分将依法予以注销，公司总股本则会相应减少。</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四、回购股份方案的实施对公司的影响</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本次回购股份用于维护公司价值及股东权益，有利于促进公司长期可持续发展和价值增长，增强投资者对公司的投资信心，维护广大投资者的利益，不会对公司经营、财务、研发、债务履行能力、未来发展产生重大影响；本次回购实施完成后，不会导致公司控制权发生变化，也不会改变公司的上市公司地位，股权分布情况仍然符合上市条件。</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五、回购期间相关主体买卖本公司股票的情况</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经核查，自公司首次披露回购事项之日起至本公告披露前一日，公司董事、监事、高级管理人员、控股股东、实际控制人及其一致行动人、提议人不存在买卖公司股票的情况，与回购方案中披露的增减持计划一致。</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六、回购股份实施的合规性说明</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公司回购股份的时间、回购股份数量及集中竞价交易的委托时段符合《深圳证券交易所上市公司自律监管指引第9号——回购股份》第十七条、十九条的相关规定，具体如下：</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1、公司未在下列期间内回购公司股份：</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（1）公司年度报告、半年度报告公告前十个交易日内；</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（2）公司季度报告、业绩预告、业绩快报公告前十个交易日内；</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（3）自可能对本公司股票交易价格产生重大影响的重大事项发生之日或者在决策过程中，至依法披露之日内；</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（4）中国证监会规定的其他情形。</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2、公司以集中竞价交易方式回购公司股份符合下列要求：</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（1）委托价格不得为公司股票当日交易涨幅限制的价格；</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（2）不得在深圳证券交易所开盘集合竞价、收盘前半小时内及股票价格无涨跌幅限制的交易日内进行股份回购的委托；</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（3）中国证监会和深圳证券交易所规定的其他要求。</w:t>
      </w:r>
    </w:p>
    <w:p>
      <w:pPr>
        <w:autoSpaceDE w:val="0"/>
        <w:autoSpaceDN w:val="0"/>
        <w:adjustRightInd w:val="0"/>
        <w:spacing w:line="500" w:lineRule="exact"/>
        <w:ind w:firstLine="482" w:firstLineChars="200"/>
        <w:jc w:val="left"/>
        <w:rPr>
          <w:rFonts w:cs="宋体" w:asciiTheme="minorEastAsia" w:hAnsiTheme="minorEastAsia"/>
          <w:b/>
          <w:color w:val="000000"/>
          <w:kern w:val="0"/>
          <w:sz w:val="24"/>
          <w:szCs w:val="24"/>
        </w:rPr>
      </w:pPr>
      <w:r>
        <w:rPr>
          <w:rFonts w:hint="eastAsia" w:cs="宋体" w:asciiTheme="minorEastAsia" w:hAnsiTheme="minorEastAsia"/>
          <w:b/>
          <w:color w:val="000000"/>
          <w:kern w:val="0"/>
          <w:sz w:val="24"/>
          <w:szCs w:val="24"/>
        </w:rPr>
        <w:t>七、已回购股份的后续安排</w:t>
      </w:r>
    </w:p>
    <w:p>
      <w:pPr>
        <w:pStyle w:val="5"/>
        <w:widowControl/>
        <w:numPr>
          <w:ilvl w:val="0"/>
          <w:numId w:val="2"/>
        </w:numPr>
        <w:shd w:val="clear" w:color="auto" w:fill="FFFFFF"/>
        <w:spacing w:beforeAutospacing="0" w:afterAutospacing="0" w:line="500" w:lineRule="exact"/>
        <w:ind w:firstLine="480" w:firstLineChars="200"/>
        <w:jc w:val="both"/>
        <w:rPr>
          <w:rFonts w:cs="宋体" w:asciiTheme="minorEastAsia" w:hAnsiTheme="minorEastAsia"/>
          <w:color w:val="000000"/>
          <w:szCs w:val="24"/>
        </w:rPr>
      </w:pPr>
      <w:r>
        <w:rPr>
          <w:rFonts w:hint="eastAsia" w:cs="宋体" w:asciiTheme="minorEastAsia" w:hAnsiTheme="minorEastAsia"/>
          <w:color w:val="000000"/>
          <w:szCs w:val="24"/>
        </w:rPr>
        <w:t>公司本次回购股份共计31,275,314股，该股份后续将按相关规定予以出售。若公司未能股份回购完成后36个月内实施上述用途，未使用部分将履行相关程序予以注销。</w:t>
      </w:r>
    </w:p>
    <w:p>
      <w:pPr>
        <w:pStyle w:val="5"/>
        <w:widowControl/>
        <w:shd w:val="clear" w:color="auto" w:fill="FFFFFF"/>
        <w:spacing w:beforeAutospacing="0" w:afterAutospacing="0" w:line="500" w:lineRule="exact"/>
        <w:ind w:firstLine="480" w:firstLineChars="200"/>
        <w:jc w:val="both"/>
        <w:rPr>
          <w:rFonts w:cs="宋体" w:asciiTheme="minorEastAsia" w:hAnsiTheme="minorEastAsia"/>
          <w:color w:val="000000"/>
          <w:szCs w:val="24"/>
        </w:rPr>
      </w:pPr>
      <w:r>
        <w:rPr>
          <w:rFonts w:hint="eastAsia" w:cs="宋体" w:asciiTheme="minorEastAsia" w:hAnsiTheme="minorEastAsia"/>
          <w:color w:val="000000"/>
          <w:szCs w:val="24"/>
        </w:rPr>
        <w:t>2、公司回购专用证券账户所持股份不享有股东大会表决权、利润分配、公积金转增股本、配股、质押等权利。</w:t>
      </w:r>
    </w:p>
    <w:p>
      <w:pPr>
        <w:pStyle w:val="5"/>
        <w:widowControl/>
        <w:shd w:val="clear" w:color="auto" w:fill="FFFFFF"/>
        <w:spacing w:beforeAutospacing="0" w:afterAutospacing="0" w:line="500" w:lineRule="exact"/>
        <w:ind w:firstLine="480" w:firstLineChars="200"/>
        <w:jc w:val="both"/>
        <w:rPr>
          <w:rFonts w:cs="宋体" w:asciiTheme="minorEastAsia" w:hAnsiTheme="minorEastAsia"/>
          <w:color w:val="000000"/>
          <w:szCs w:val="24"/>
        </w:rPr>
      </w:pPr>
      <w:r>
        <w:rPr>
          <w:rFonts w:hint="eastAsia" w:cs="宋体" w:asciiTheme="minorEastAsia" w:hAnsiTheme="minorEastAsia"/>
          <w:color w:val="000000"/>
          <w:szCs w:val="24"/>
        </w:rPr>
        <w:t>3、公司将根据后续进展情况及时履行信息披露义务，敬请投资者注意投资风险。</w:t>
      </w:r>
    </w:p>
    <w:p>
      <w:pPr>
        <w:autoSpaceDE w:val="0"/>
        <w:autoSpaceDN w:val="0"/>
        <w:adjustRightInd w:val="0"/>
        <w:spacing w:line="500" w:lineRule="exact"/>
        <w:ind w:firstLine="480" w:firstLineChars="20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特此公告。</w:t>
      </w:r>
      <w:r>
        <w:rPr>
          <w:rFonts w:cs="宋体" w:asciiTheme="minorEastAsia" w:hAnsiTheme="minorEastAsia"/>
          <w:color w:val="000000"/>
          <w:kern w:val="0"/>
          <w:sz w:val="24"/>
          <w:szCs w:val="24"/>
        </w:rPr>
        <w:t xml:space="preserve"> </w:t>
      </w:r>
    </w:p>
    <w:p>
      <w:pPr>
        <w:autoSpaceDE w:val="0"/>
        <w:autoSpaceDN w:val="0"/>
        <w:adjustRightInd w:val="0"/>
        <w:spacing w:line="500" w:lineRule="exact"/>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华孚时尚股份有限公司董事会</w:t>
      </w:r>
      <w:r>
        <w:rPr>
          <w:rFonts w:cs="宋体" w:asciiTheme="minorEastAsia" w:hAnsiTheme="minorEastAsia"/>
          <w:color w:val="000000"/>
          <w:kern w:val="0"/>
          <w:sz w:val="24"/>
          <w:szCs w:val="24"/>
        </w:rPr>
        <w:t xml:space="preserve"> </w:t>
      </w:r>
    </w:p>
    <w:p>
      <w:pPr>
        <w:spacing w:line="500" w:lineRule="exact"/>
        <w:ind w:firstLine="480" w:firstLineChars="200"/>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二〇二三年六月二十日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21DDD1"/>
    <w:multiLevelType w:val="singleLevel"/>
    <w:tmpl w:val="A421DDD1"/>
    <w:lvl w:ilvl="0" w:tentative="0">
      <w:start w:val="3"/>
      <w:numFmt w:val="chineseCounting"/>
      <w:suff w:val="nothing"/>
      <w:lvlText w:val="%1、"/>
      <w:lvlJc w:val="left"/>
      <w:rPr>
        <w:rFonts w:hint="eastAsia"/>
      </w:rPr>
    </w:lvl>
  </w:abstractNum>
  <w:abstractNum w:abstractNumId="1">
    <w:nsid w:val="3ACD5D7E"/>
    <w:multiLevelType w:val="singleLevel"/>
    <w:tmpl w:val="3ACD5D7E"/>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CA559B"/>
    <w:rsid w:val="0001152D"/>
    <w:rsid w:val="00026AB1"/>
    <w:rsid w:val="0006577E"/>
    <w:rsid w:val="00072F30"/>
    <w:rsid w:val="0009506C"/>
    <w:rsid w:val="000B4E50"/>
    <w:rsid w:val="001A66CD"/>
    <w:rsid w:val="00262AEC"/>
    <w:rsid w:val="00284D66"/>
    <w:rsid w:val="002B1B16"/>
    <w:rsid w:val="00331C1E"/>
    <w:rsid w:val="00336C32"/>
    <w:rsid w:val="00450981"/>
    <w:rsid w:val="004960D4"/>
    <w:rsid w:val="005854E9"/>
    <w:rsid w:val="005B4743"/>
    <w:rsid w:val="005F29C6"/>
    <w:rsid w:val="006446D3"/>
    <w:rsid w:val="006549B9"/>
    <w:rsid w:val="007218EF"/>
    <w:rsid w:val="007C099A"/>
    <w:rsid w:val="007D0A3C"/>
    <w:rsid w:val="007D69B8"/>
    <w:rsid w:val="007E4192"/>
    <w:rsid w:val="00833835"/>
    <w:rsid w:val="0084512B"/>
    <w:rsid w:val="008635C1"/>
    <w:rsid w:val="00897513"/>
    <w:rsid w:val="008C0332"/>
    <w:rsid w:val="00935A25"/>
    <w:rsid w:val="00986D8D"/>
    <w:rsid w:val="00AB7A64"/>
    <w:rsid w:val="00AE5662"/>
    <w:rsid w:val="00BA0748"/>
    <w:rsid w:val="00BA6369"/>
    <w:rsid w:val="00BF5C14"/>
    <w:rsid w:val="00C457B5"/>
    <w:rsid w:val="00CA559B"/>
    <w:rsid w:val="00CC752E"/>
    <w:rsid w:val="00CF5C00"/>
    <w:rsid w:val="00D25AB7"/>
    <w:rsid w:val="00D5514E"/>
    <w:rsid w:val="00D84818"/>
    <w:rsid w:val="00D86B24"/>
    <w:rsid w:val="00D97A88"/>
    <w:rsid w:val="00E06B56"/>
    <w:rsid w:val="00E442C9"/>
    <w:rsid w:val="00EA1AE8"/>
    <w:rsid w:val="00EE66AE"/>
    <w:rsid w:val="00F63C76"/>
    <w:rsid w:val="06A66D03"/>
    <w:rsid w:val="08747D35"/>
    <w:rsid w:val="0B114967"/>
    <w:rsid w:val="0BD031BB"/>
    <w:rsid w:val="0D1A6B28"/>
    <w:rsid w:val="0DE96198"/>
    <w:rsid w:val="0DF76096"/>
    <w:rsid w:val="0EEA18E6"/>
    <w:rsid w:val="12631E6B"/>
    <w:rsid w:val="12FE572C"/>
    <w:rsid w:val="15405D11"/>
    <w:rsid w:val="16364DB2"/>
    <w:rsid w:val="19A06964"/>
    <w:rsid w:val="1EEC2486"/>
    <w:rsid w:val="1FBC7140"/>
    <w:rsid w:val="215435F3"/>
    <w:rsid w:val="252E63EA"/>
    <w:rsid w:val="253432D4"/>
    <w:rsid w:val="2E7079CB"/>
    <w:rsid w:val="309D1108"/>
    <w:rsid w:val="313D69AD"/>
    <w:rsid w:val="34B9124E"/>
    <w:rsid w:val="3CBC3E83"/>
    <w:rsid w:val="3D2008B6"/>
    <w:rsid w:val="3EE26BA4"/>
    <w:rsid w:val="40824549"/>
    <w:rsid w:val="4142704D"/>
    <w:rsid w:val="444529B0"/>
    <w:rsid w:val="4D7F0CE1"/>
    <w:rsid w:val="4E370B1C"/>
    <w:rsid w:val="4E5F0BA2"/>
    <w:rsid w:val="4EC318B9"/>
    <w:rsid w:val="4F9F566B"/>
    <w:rsid w:val="515F730B"/>
    <w:rsid w:val="52456096"/>
    <w:rsid w:val="57106E4E"/>
    <w:rsid w:val="5ABC726B"/>
    <w:rsid w:val="5BB26C94"/>
    <w:rsid w:val="60A9029A"/>
    <w:rsid w:val="654A02F7"/>
    <w:rsid w:val="6A52699A"/>
    <w:rsid w:val="702E0619"/>
    <w:rsid w:val="72B035E5"/>
    <w:rsid w:val="736D3206"/>
    <w:rsid w:val="75B710B1"/>
    <w:rsid w:val="76E00193"/>
    <w:rsid w:val="77440722"/>
    <w:rsid w:val="7DB979D8"/>
    <w:rsid w:val="7DE37F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bCs/>
      <w:kern w:val="0"/>
      <w:sz w:val="24"/>
      <w:szCs w:val="24"/>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Autospacing="1" w:afterAutospacing="1"/>
      <w:jc w:val="left"/>
    </w:pPr>
    <w:rPr>
      <w:rFonts w:cs="Times New Roman"/>
      <w:kern w:val="0"/>
      <w:sz w:val="24"/>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0">
    <w:name w:val="页眉 Char"/>
    <w:basedOn w:val="8"/>
    <w:link w:val="4"/>
    <w:qFormat/>
    <w:uiPriority w:val="99"/>
    <w:rPr>
      <w:sz w:val="18"/>
      <w:szCs w:val="18"/>
    </w:rPr>
  </w:style>
  <w:style w:type="character" w:customStyle="1" w:styleId="11">
    <w:name w:val="页脚 Char"/>
    <w:basedOn w:val="8"/>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微软公司</Company>
  <Pages>4</Pages>
  <Words>2229</Words>
  <Characters>2454</Characters>
  <Lines>17</Lines>
  <Paragraphs>5</Paragraphs>
  <TotalTime>128</TotalTime>
  <ScaleCrop>false</ScaleCrop>
  <LinksUpToDate>false</LinksUpToDate>
  <CharactersWithSpaces>2491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2022-08-01T08:20:00Z</dcterms:created>
  <dc:creator>未定义</dc:creator>
  <cp:lastModifiedBy>WSY</cp:lastModifiedBy>
  <cp:lastPrinted>2018-12-03T03:00:00Z</cp:lastPrinted>
  <dcterms:modified xsi:type="dcterms:W3CDTF">2023-06-19T09:55:49Z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5D2804C3FE6F4129BF8BEB04A35D8F1F</vt:lpwstr>
  </property>
</Properties>
</file>