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1B" w:rsidRPr="005206FD" w:rsidRDefault="00084BE1">
      <w:pPr>
        <w:spacing w:line="400" w:lineRule="exact"/>
        <w:rPr>
          <w:rFonts w:ascii="黑体" w:eastAsia="黑体" w:hAnsi="黑体"/>
          <w:szCs w:val="21"/>
        </w:rPr>
      </w:pPr>
      <w:r w:rsidRPr="005206FD">
        <w:rPr>
          <w:rFonts w:ascii="黑体" w:eastAsia="黑体" w:hAnsi="黑体" w:hint="eastAsia"/>
          <w:szCs w:val="21"/>
        </w:rPr>
        <w:t>证券代码：002042              证券简称：华孚时尚               公告编号：2022-65</w:t>
      </w:r>
    </w:p>
    <w:p w:rsidR="00A6691B" w:rsidRPr="005206FD" w:rsidRDefault="00A6691B">
      <w:pPr>
        <w:spacing w:line="200" w:lineRule="exact"/>
        <w:ind w:firstLineChars="200" w:firstLine="422"/>
        <w:jc w:val="center"/>
        <w:rPr>
          <w:rFonts w:asciiTheme="minorEastAsia" w:hAnsiTheme="minorEastAsia"/>
          <w:b/>
          <w:szCs w:val="24"/>
        </w:rPr>
      </w:pPr>
    </w:p>
    <w:p w:rsidR="00A6691B" w:rsidRPr="005206FD" w:rsidRDefault="00084BE1">
      <w:pPr>
        <w:spacing w:beforeLines="50" w:before="156" w:afterLines="50" w:after="156" w:line="500" w:lineRule="exact"/>
        <w:jc w:val="center"/>
        <w:rPr>
          <w:rFonts w:asciiTheme="minorEastAsia" w:hAnsiTheme="minorEastAsia"/>
          <w:b/>
          <w:sz w:val="36"/>
          <w:szCs w:val="24"/>
        </w:rPr>
      </w:pPr>
      <w:r w:rsidRPr="005206FD">
        <w:rPr>
          <w:rFonts w:asciiTheme="minorEastAsia" w:hAnsiTheme="minorEastAsia" w:hint="eastAsia"/>
          <w:b/>
          <w:sz w:val="36"/>
          <w:szCs w:val="24"/>
        </w:rPr>
        <w:t>华孚时尚股份有限公司</w:t>
      </w:r>
    </w:p>
    <w:p w:rsidR="00A6691B" w:rsidRPr="005206FD" w:rsidRDefault="00084BE1">
      <w:pPr>
        <w:widowControl/>
        <w:spacing w:afterLines="50" w:after="156" w:line="360" w:lineRule="auto"/>
        <w:jc w:val="center"/>
        <w:rPr>
          <w:rFonts w:asciiTheme="minorEastAsia" w:hAnsiTheme="minorEastAsia" w:cs="宋体"/>
          <w:color w:val="000000"/>
          <w:kern w:val="0"/>
          <w:sz w:val="2"/>
          <w:szCs w:val="24"/>
        </w:rPr>
      </w:pPr>
      <w:r w:rsidRPr="005206FD">
        <w:rPr>
          <w:rFonts w:asciiTheme="minorEastAsia" w:hAnsiTheme="minorEastAsia" w:hint="eastAsia"/>
          <w:b/>
          <w:sz w:val="36"/>
          <w:szCs w:val="24"/>
        </w:rPr>
        <w:t>关于控股子公司增资扩股引入战略投资者的公告</w:t>
      </w:r>
      <w:r w:rsidRPr="005206FD">
        <w:rPr>
          <w:rFonts w:asciiTheme="minorEastAsia" w:hAnsiTheme="minorEastAsia" w:cs="宋体"/>
          <w:color w:val="000000"/>
          <w:kern w:val="0"/>
          <w:sz w:val="2"/>
          <w:szCs w:val="21"/>
        </w:rPr>
        <w:t xml:space="preserve"> </w:t>
      </w:r>
      <w:r w:rsidRPr="005206FD">
        <w:rPr>
          <w:rFonts w:asciiTheme="minorEastAsia" w:hAnsiTheme="minorEastAsia" w:cs="宋体" w:hint="eastAsia"/>
          <w:color w:val="000000"/>
          <w:kern w:val="0"/>
          <w:sz w:val="2"/>
          <w:szCs w:val="21"/>
        </w:rPr>
        <w:t xml:space="preserve">   </w:t>
      </w:r>
      <w:r w:rsidRPr="005206FD">
        <w:rPr>
          <w:rFonts w:asciiTheme="minorEastAsia" w:hAnsiTheme="minorEastAsia" w:cs="宋体" w:hint="eastAsia"/>
          <w:color w:val="000000"/>
          <w:kern w:val="0"/>
          <w:sz w:val="2"/>
          <w:szCs w:val="24"/>
        </w:rPr>
        <w:t xml:space="preserve"> </w:t>
      </w:r>
    </w:p>
    <w:p w:rsidR="00A6691B" w:rsidRPr="005206FD" w:rsidRDefault="00084BE1">
      <w:pPr>
        <w:spacing w:line="500" w:lineRule="exact"/>
        <w:ind w:firstLineChars="200" w:firstLine="440"/>
        <w:jc w:val="left"/>
        <w:rPr>
          <w:rFonts w:ascii="华文楷体" w:eastAsia="华文楷体" w:hAnsi="华文楷体" w:cs="宋体"/>
          <w:color w:val="000000"/>
          <w:kern w:val="0"/>
          <w:sz w:val="22"/>
          <w:szCs w:val="24"/>
        </w:rPr>
      </w:pPr>
      <w:r w:rsidRPr="005206FD">
        <w:rPr>
          <w:rFonts w:ascii="华文楷体" w:eastAsia="华文楷体" w:hAnsi="华文楷体" w:cs="宋体" w:hint="eastAsia"/>
          <w:color w:val="000000"/>
          <w:kern w:val="0"/>
          <w:sz w:val="22"/>
          <w:szCs w:val="24"/>
        </w:rPr>
        <w:t>本公司及董事会全体成员保证本公告内容的真实、准确和完整，没有虚假记载、误导性陈述或重大遗漏。</w:t>
      </w:r>
    </w:p>
    <w:p w:rsidR="00A6691B" w:rsidRPr="005206FD" w:rsidRDefault="00A6691B">
      <w:pPr>
        <w:spacing w:line="200" w:lineRule="exact"/>
        <w:ind w:firstLineChars="200" w:firstLine="480"/>
        <w:jc w:val="left"/>
        <w:rPr>
          <w:rFonts w:asciiTheme="minorEastAsia" w:hAnsiTheme="minorEastAsia"/>
          <w:sz w:val="24"/>
          <w:szCs w:val="24"/>
        </w:rPr>
      </w:pPr>
    </w:p>
    <w:p w:rsidR="00A6691B" w:rsidRPr="005206FD" w:rsidRDefault="00084BE1">
      <w:pPr>
        <w:pStyle w:val="Default"/>
        <w:spacing w:line="500" w:lineRule="exact"/>
        <w:ind w:firstLineChars="200" w:firstLine="480"/>
        <w:rPr>
          <w:rFonts w:asciiTheme="minorEastAsia" w:eastAsiaTheme="minorEastAsia" w:hAnsiTheme="minorEastAsia"/>
        </w:rPr>
      </w:pPr>
      <w:r w:rsidRPr="005206FD">
        <w:rPr>
          <w:rFonts w:asciiTheme="minorEastAsia" w:eastAsiaTheme="minorEastAsia" w:hAnsiTheme="minorEastAsia" w:hint="eastAsia"/>
        </w:rPr>
        <w:t>华孚时尚股份有限公司（以下简称</w:t>
      </w:r>
      <w:r w:rsidRPr="005206FD">
        <w:rPr>
          <w:rFonts w:asciiTheme="minorEastAsia" w:eastAsiaTheme="minorEastAsia" w:hAnsiTheme="minorEastAsia"/>
        </w:rPr>
        <w:t>“</w:t>
      </w:r>
      <w:r w:rsidRPr="005206FD">
        <w:rPr>
          <w:rFonts w:asciiTheme="minorEastAsia" w:eastAsiaTheme="minorEastAsia" w:hAnsiTheme="minorEastAsia" w:hint="eastAsia"/>
        </w:rPr>
        <w:t>公司</w:t>
      </w:r>
      <w:r w:rsidRPr="005206FD">
        <w:rPr>
          <w:rFonts w:asciiTheme="minorEastAsia" w:eastAsiaTheme="minorEastAsia" w:hAnsiTheme="minorEastAsia"/>
        </w:rPr>
        <w:t>”</w:t>
      </w:r>
      <w:r w:rsidRPr="005206FD">
        <w:rPr>
          <w:rFonts w:asciiTheme="minorEastAsia" w:eastAsiaTheme="minorEastAsia" w:hAnsiTheme="minorEastAsia" w:hint="eastAsia"/>
        </w:rPr>
        <w:t>）于2022年11月21日召开第八届董事会2022年第五次临时会议</w:t>
      </w:r>
      <w:r w:rsidR="00CC2A09" w:rsidRPr="005206FD">
        <w:rPr>
          <w:rFonts w:asciiTheme="minorEastAsia" w:eastAsiaTheme="minorEastAsia" w:hAnsiTheme="minorEastAsia" w:hint="eastAsia"/>
        </w:rPr>
        <w:t>，</w:t>
      </w:r>
      <w:r w:rsidRPr="005206FD">
        <w:rPr>
          <w:rFonts w:asciiTheme="minorEastAsia" w:eastAsiaTheme="minorEastAsia" w:hAnsiTheme="minorEastAsia" w:hint="eastAsia"/>
        </w:rPr>
        <w:t>审议通过《关于控股子公司增资扩股引入战略投资者的议案》。为促进公司控股子公司发展，公司拟对控股子公司浙江鲲驰互联科技有限公司（以下简称“鲲驰互联”或“标的公司”）进行增资扩股，引入战略投资者浙江诸暨转型升级产业基金有限公司（以下简称“产业基金”或“投资方”），产业基金将以货币资金22,000.00万元对</w:t>
      </w:r>
      <w:proofErr w:type="gramStart"/>
      <w:r w:rsidRPr="005206FD">
        <w:rPr>
          <w:rFonts w:asciiTheme="minorEastAsia" w:eastAsiaTheme="minorEastAsia" w:hAnsiTheme="minorEastAsia" w:hint="eastAsia"/>
        </w:rPr>
        <w:t>鲲</w:t>
      </w:r>
      <w:proofErr w:type="gramEnd"/>
      <w:r w:rsidRPr="005206FD">
        <w:rPr>
          <w:rFonts w:asciiTheme="minorEastAsia" w:eastAsiaTheme="minorEastAsia" w:hAnsiTheme="minorEastAsia" w:hint="eastAsia"/>
        </w:rPr>
        <w:t>驰互联进行增资，其中980.78万元计入注册资本，21,019.22万元计入资本公积。本次增资完成后，</w:t>
      </w:r>
      <w:proofErr w:type="gramStart"/>
      <w:r w:rsidRPr="005206FD">
        <w:rPr>
          <w:rFonts w:asciiTheme="minorEastAsia" w:eastAsiaTheme="minorEastAsia" w:hAnsiTheme="minorEastAsia" w:hint="eastAsia"/>
        </w:rPr>
        <w:t>鲲</w:t>
      </w:r>
      <w:proofErr w:type="gramEnd"/>
      <w:r w:rsidRPr="005206FD">
        <w:rPr>
          <w:rFonts w:asciiTheme="minorEastAsia" w:eastAsiaTheme="minorEastAsia" w:hAnsiTheme="minorEastAsia" w:hint="eastAsia"/>
        </w:rPr>
        <w:t>驰互联注册资本将由3,566.49万元增加至4,547.27万元，公司持有</w:t>
      </w:r>
      <w:proofErr w:type="gramStart"/>
      <w:r w:rsidRPr="005206FD">
        <w:rPr>
          <w:rFonts w:asciiTheme="minorEastAsia" w:eastAsiaTheme="minorEastAsia" w:hAnsiTheme="minorEastAsia" w:hint="eastAsia"/>
        </w:rPr>
        <w:t>鲲</w:t>
      </w:r>
      <w:proofErr w:type="gramEnd"/>
      <w:r w:rsidRPr="005206FD">
        <w:rPr>
          <w:rFonts w:asciiTheme="minorEastAsia" w:eastAsiaTheme="minorEastAsia" w:hAnsiTheme="minorEastAsia" w:hint="eastAsia"/>
        </w:rPr>
        <w:t>驰互联股份比例由64.95%下降至50.94%，</w:t>
      </w:r>
      <w:proofErr w:type="gramStart"/>
      <w:r w:rsidRPr="005206FD">
        <w:rPr>
          <w:rFonts w:asciiTheme="minorEastAsia" w:eastAsiaTheme="minorEastAsia" w:hAnsiTheme="minorEastAsia" w:hint="eastAsia"/>
        </w:rPr>
        <w:t>鲲</w:t>
      </w:r>
      <w:proofErr w:type="gramEnd"/>
      <w:r w:rsidRPr="005206FD">
        <w:rPr>
          <w:rFonts w:asciiTheme="minorEastAsia" w:eastAsiaTheme="minorEastAsia" w:hAnsiTheme="minorEastAsia" w:hint="eastAsia"/>
        </w:rPr>
        <w:t>驰互联仍为公司控股子公司。</w:t>
      </w:r>
    </w:p>
    <w:p w:rsidR="00A6691B" w:rsidRPr="005206FD" w:rsidRDefault="00084BE1">
      <w:pPr>
        <w:pStyle w:val="Default"/>
        <w:spacing w:line="500" w:lineRule="exact"/>
        <w:ind w:firstLineChars="200" w:firstLine="480"/>
        <w:rPr>
          <w:rFonts w:asciiTheme="minorEastAsia" w:eastAsiaTheme="minorEastAsia" w:hAnsiTheme="minorEastAsia"/>
        </w:rPr>
      </w:pPr>
      <w:r w:rsidRPr="005206FD">
        <w:rPr>
          <w:rFonts w:asciiTheme="minorEastAsia" w:eastAsiaTheme="minorEastAsia" w:hAnsiTheme="minorEastAsia" w:hint="eastAsia"/>
        </w:rPr>
        <w:t>本次交易已经公司于2022年11月21日召开的公司第八届董事会2022年第五次临时会议审议通过，独立董事就该事项发表了同意意见。</w:t>
      </w:r>
      <w:r w:rsidR="00CC2A09" w:rsidRPr="005206FD">
        <w:rPr>
          <w:rFonts w:asciiTheme="minorEastAsia" w:eastAsiaTheme="minorEastAsia" w:hAnsiTheme="minorEastAsia" w:hint="eastAsia"/>
        </w:rPr>
        <w:t>本次交易设置交割</w:t>
      </w:r>
      <w:proofErr w:type="gramStart"/>
      <w:r w:rsidR="00CC2A09" w:rsidRPr="005206FD">
        <w:rPr>
          <w:rFonts w:asciiTheme="minorEastAsia" w:eastAsiaTheme="minorEastAsia" w:hAnsiTheme="minorEastAsia" w:hint="eastAsia"/>
        </w:rPr>
        <w:t>前义务</w:t>
      </w:r>
      <w:proofErr w:type="gramEnd"/>
      <w:r w:rsidR="00CC2A09" w:rsidRPr="005206FD">
        <w:rPr>
          <w:rFonts w:asciiTheme="minorEastAsia" w:eastAsiaTheme="minorEastAsia" w:hAnsiTheme="minorEastAsia" w:hint="eastAsia"/>
        </w:rPr>
        <w:t>及过渡期安排</w:t>
      </w:r>
      <w:r w:rsidRPr="005206FD">
        <w:rPr>
          <w:rFonts w:asciiTheme="minorEastAsia" w:eastAsiaTheme="minorEastAsia" w:hAnsiTheme="minorEastAsia" w:hint="eastAsia"/>
        </w:rPr>
        <w:t>，最终能否完成增资存在不确定性。请广大投资者注意投资风险。</w:t>
      </w:r>
    </w:p>
    <w:p w:rsidR="00A6691B" w:rsidRPr="005206FD" w:rsidRDefault="00084BE1">
      <w:pPr>
        <w:pStyle w:val="Default"/>
        <w:spacing w:line="500" w:lineRule="exact"/>
        <w:ind w:firstLineChars="200" w:firstLine="480"/>
        <w:rPr>
          <w:rFonts w:asciiTheme="minorEastAsia" w:eastAsiaTheme="minorEastAsia" w:hAnsiTheme="minorEastAsia"/>
        </w:rPr>
      </w:pPr>
      <w:r w:rsidRPr="005206FD">
        <w:rPr>
          <w:rFonts w:asciiTheme="minorEastAsia" w:eastAsiaTheme="minorEastAsia" w:hAnsiTheme="minorEastAsia" w:hint="eastAsia"/>
        </w:rPr>
        <w:t>本次交易不涉及关联交易，不构成《上市公司重大资产重组管理办法》规定的重大资产重组。本议案需提交股东大会审议。</w:t>
      </w:r>
    </w:p>
    <w:p w:rsidR="00A6691B" w:rsidRPr="005206FD" w:rsidRDefault="00084BE1">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5206FD">
        <w:rPr>
          <w:rFonts w:asciiTheme="minorEastAsia" w:hAnsiTheme="minorEastAsia" w:cs="宋体" w:hint="eastAsia"/>
          <w:b/>
          <w:color w:val="000000"/>
          <w:kern w:val="0"/>
          <w:sz w:val="24"/>
          <w:szCs w:val="24"/>
        </w:rPr>
        <w:t>一、投资方基本情况</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1、公司名称：浙江诸暨转型升级产业基金有限公司</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2、统一社会信用代码：</w:t>
      </w:r>
      <w:proofErr w:type="spellStart"/>
      <w:r w:rsidRPr="005206FD">
        <w:rPr>
          <w:rFonts w:asciiTheme="minorEastAsia" w:hAnsiTheme="minorEastAsia" w:cs="宋体" w:hint="eastAsia"/>
          <w:color w:val="000000"/>
          <w:kern w:val="0"/>
          <w:sz w:val="24"/>
          <w:szCs w:val="24"/>
        </w:rPr>
        <w:t>91330681MA28808A4K</w:t>
      </w:r>
      <w:proofErr w:type="spellEnd"/>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3、法定代表人：</w:t>
      </w:r>
      <w:r w:rsidR="00CC2A09" w:rsidRPr="005206FD">
        <w:fldChar w:fldCharType="begin"/>
      </w:r>
      <w:r w:rsidR="00CC2A09" w:rsidRPr="005206FD">
        <w:instrText xml:space="preserve"> HYPERLINK "https://180.96.8.44/Wind.WFC.Enterprise.Web/PC.Front/Company/Person.html?id=CABC97D84B50ABE7BC6C86DE46266812&amp;name=%E6%B1%A4%E5%8E%89%E6%98%8E" \t "_blank" </w:instrText>
      </w:r>
      <w:r w:rsidR="00CC2A09" w:rsidRPr="005206FD">
        <w:fldChar w:fldCharType="separate"/>
      </w:r>
      <w:proofErr w:type="gramStart"/>
      <w:r w:rsidRPr="005206FD">
        <w:rPr>
          <w:rFonts w:asciiTheme="minorEastAsia" w:hAnsiTheme="minorEastAsia" w:cs="宋体" w:hint="eastAsia"/>
          <w:color w:val="000000"/>
          <w:kern w:val="0"/>
          <w:sz w:val="24"/>
          <w:szCs w:val="24"/>
        </w:rPr>
        <w:t>汤厉明</w:t>
      </w:r>
      <w:proofErr w:type="gramEnd"/>
      <w:r w:rsidR="00CC2A09" w:rsidRPr="005206FD">
        <w:rPr>
          <w:rFonts w:asciiTheme="minorEastAsia" w:hAnsiTheme="minorEastAsia" w:cs="宋体"/>
          <w:color w:val="000000"/>
          <w:kern w:val="0"/>
          <w:sz w:val="24"/>
          <w:szCs w:val="24"/>
        </w:rPr>
        <w:fldChar w:fldCharType="end"/>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4、注册资本：120,000万人民币</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5、成立日期：2015年10月08日</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lastRenderedPageBreak/>
        <w:t>6、注册地址：</w:t>
      </w:r>
      <w:proofErr w:type="gramStart"/>
      <w:r w:rsidRPr="005206FD">
        <w:rPr>
          <w:rFonts w:asciiTheme="minorEastAsia" w:hAnsiTheme="minorEastAsia" w:cs="宋体" w:hint="eastAsia"/>
          <w:color w:val="000000"/>
          <w:kern w:val="0"/>
          <w:sz w:val="24"/>
          <w:szCs w:val="24"/>
        </w:rPr>
        <w:t>诸暨市暨阳</w:t>
      </w:r>
      <w:proofErr w:type="gramEnd"/>
      <w:r w:rsidRPr="005206FD">
        <w:rPr>
          <w:rFonts w:asciiTheme="minorEastAsia" w:hAnsiTheme="minorEastAsia" w:cs="宋体" w:hint="eastAsia"/>
          <w:color w:val="000000"/>
          <w:kern w:val="0"/>
          <w:sz w:val="24"/>
          <w:szCs w:val="24"/>
        </w:rPr>
        <w:t>街道人民中路356号十三层</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7</w:t>
      </w:r>
      <w:r w:rsidR="00CC2A09" w:rsidRPr="005206FD">
        <w:rPr>
          <w:rFonts w:asciiTheme="minorEastAsia" w:hAnsiTheme="minorEastAsia" w:cs="宋体" w:hint="eastAsia"/>
          <w:color w:val="000000"/>
          <w:kern w:val="0"/>
          <w:sz w:val="24"/>
          <w:szCs w:val="24"/>
        </w:rPr>
        <w:t>、办公</w:t>
      </w:r>
      <w:r w:rsidRPr="005206FD">
        <w:rPr>
          <w:rFonts w:asciiTheme="minorEastAsia" w:hAnsiTheme="minorEastAsia" w:cs="宋体" w:hint="eastAsia"/>
          <w:color w:val="000000"/>
          <w:kern w:val="0"/>
          <w:sz w:val="24"/>
          <w:szCs w:val="24"/>
        </w:rPr>
        <w:t>地址：</w:t>
      </w:r>
      <w:proofErr w:type="gramStart"/>
      <w:r w:rsidRPr="005206FD">
        <w:rPr>
          <w:rFonts w:asciiTheme="minorEastAsia" w:hAnsiTheme="minorEastAsia" w:cs="宋体" w:hint="eastAsia"/>
          <w:color w:val="000000"/>
          <w:kern w:val="0"/>
          <w:sz w:val="24"/>
          <w:szCs w:val="24"/>
        </w:rPr>
        <w:t>诸暨市暨阳</w:t>
      </w:r>
      <w:proofErr w:type="gramEnd"/>
      <w:r w:rsidRPr="005206FD">
        <w:rPr>
          <w:rFonts w:asciiTheme="minorEastAsia" w:hAnsiTheme="minorEastAsia" w:cs="宋体" w:hint="eastAsia"/>
          <w:color w:val="000000"/>
          <w:kern w:val="0"/>
          <w:sz w:val="24"/>
          <w:szCs w:val="24"/>
        </w:rPr>
        <w:t>街道人民中路356号十三层</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8、经营范围：实业投资、投资管理</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9、股东结构：</w:t>
      </w:r>
      <w:r w:rsidRPr="005206FD">
        <w:rPr>
          <w:rFonts w:asciiTheme="minorEastAsia" w:hAnsiTheme="minorEastAsia" w:cs="宋体"/>
          <w:color w:val="000000"/>
          <w:kern w:val="0"/>
          <w:sz w:val="24"/>
          <w:szCs w:val="24"/>
        </w:rPr>
        <w:t>诸暨市国有资产经营有限公司</w:t>
      </w:r>
      <w:r w:rsidRPr="005206FD">
        <w:rPr>
          <w:rFonts w:asciiTheme="minorEastAsia" w:hAnsiTheme="minorEastAsia" w:cs="宋体" w:hint="eastAsia"/>
          <w:color w:val="000000"/>
          <w:kern w:val="0"/>
          <w:sz w:val="24"/>
          <w:szCs w:val="24"/>
        </w:rPr>
        <w:t>持股100%</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10、关联关系：投资方与公司、公司控股股东及实际控制人、公司董事、监事、高级管理人员之间均不存在关联关系</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11、其他：投资方不为失信被执行人</w:t>
      </w:r>
    </w:p>
    <w:p w:rsidR="00A6691B" w:rsidRPr="005206FD" w:rsidRDefault="00084BE1">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5206FD">
        <w:rPr>
          <w:rFonts w:asciiTheme="minorEastAsia" w:hAnsiTheme="minorEastAsia" w:cs="宋体" w:hint="eastAsia"/>
          <w:b/>
          <w:color w:val="000000"/>
          <w:kern w:val="0"/>
          <w:sz w:val="24"/>
          <w:szCs w:val="24"/>
        </w:rPr>
        <w:t>二、标的公司基本情况</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1、公司名称：浙江鲲驰互联科技有限公司</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2、统一社会信用代码：</w:t>
      </w:r>
      <w:proofErr w:type="spellStart"/>
      <w:r w:rsidRPr="005206FD">
        <w:rPr>
          <w:rFonts w:asciiTheme="minorEastAsia" w:hAnsiTheme="minorEastAsia" w:cs="宋体" w:hint="eastAsia"/>
          <w:color w:val="000000"/>
          <w:kern w:val="0"/>
          <w:sz w:val="24"/>
          <w:szCs w:val="24"/>
        </w:rPr>
        <w:t>91330681MA2JRTFE4Q</w:t>
      </w:r>
      <w:proofErr w:type="spellEnd"/>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3、法定代表人：</w:t>
      </w:r>
      <w:r w:rsidR="00CC2A09" w:rsidRPr="005206FD">
        <w:fldChar w:fldCharType="begin"/>
      </w:r>
      <w:r w:rsidR="00CC2A09" w:rsidRPr="005206FD">
        <w:instrText xml:space="preserve"> HYPERLINK "https://180.96.8.44/Wind.WFC.Enterprise.Web/PC.Front/Company/Person.html?id=00BCAB731B07C9511C527C271CE9A13A&amp;name=%E9%92%9F%E8%80%80%E6%A0%8B" \t "_blank" </w:instrText>
      </w:r>
      <w:r w:rsidR="00CC2A09" w:rsidRPr="005206FD">
        <w:fldChar w:fldCharType="separate"/>
      </w:r>
      <w:proofErr w:type="gramStart"/>
      <w:r w:rsidRPr="005206FD">
        <w:rPr>
          <w:rFonts w:asciiTheme="minorEastAsia" w:hAnsiTheme="minorEastAsia" w:cs="宋体" w:hint="eastAsia"/>
          <w:color w:val="000000"/>
          <w:kern w:val="0"/>
          <w:sz w:val="24"/>
          <w:szCs w:val="24"/>
        </w:rPr>
        <w:t>钟耀栋</w:t>
      </w:r>
      <w:proofErr w:type="gramEnd"/>
      <w:r w:rsidR="00CC2A09" w:rsidRPr="005206FD">
        <w:rPr>
          <w:rFonts w:asciiTheme="minorEastAsia" w:hAnsiTheme="minorEastAsia" w:cs="宋体"/>
          <w:color w:val="000000"/>
          <w:kern w:val="0"/>
          <w:sz w:val="24"/>
          <w:szCs w:val="24"/>
        </w:rPr>
        <w:fldChar w:fldCharType="end"/>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4、注册资本：3,566.49万人民币（本次交易前）</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5、成立日期：2021年03月01日</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6、注册地址：浙江省绍兴市诸暨市大唐街道西三环路99号-1</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7</w:t>
      </w:r>
      <w:r w:rsidR="00CC2A09" w:rsidRPr="005206FD">
        <w:rPr>
          <w:rFonts w:asciiTheme="minorEastAsia" w:hAnsiTheme="minorEastAsia" w:cs="宋体" w:hint="eastAsia"/>
          <w:color w:val="000000"/>
          <w:kern w:val="0"/>
          <w:sz w:val="24"/>
          <w:szCs w:val="24"/>
        </w:rPr>
        <w:t>、办公</w:t>
      </w:r>
      <w:r w:rsidRPr="005206FD">
        <w:rPr>
          <w:rFonts w:asciiTheme="minorEastAsia" w:hAnsiTheme="minorEastAsia" w:cs="宋体" w:hint="eastAsia"/>
          <w:color w:val="000000"/>
          <w:kern w:val="0"/>
          <w:sz w:val="24"/>
          <w:szCs w:val="24"/>
        </w:rPr>
        <w:t>地址：浙江省绍兴市诸暨市大唐街道西三环路99号-1</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8、经营范围：一般项目：物联网技术研发；物联网技术服务；软件开发；服饰研发；技术服务、技术开发、技术咨询、技术交流、技术转让、技术推广；服装制造；互联网销售（除销售需要许可的商品）；服饰制造；服装服饰零售；服装服饰批发；针织或钩针编织物及其制品制造；针纺织品及原料销售；劳动保护用品销售；针纺织品销售；面料纺织加工；家用纺织制成品制造；纤维素纤维原料及纤维制造；纺织专用设备销售；纺织专用设备制造；五金产品批发；工艺美术品及礼仪用品销售（象牙及其制品除外）；家用电器销售；电气设备销售；建筑材料销售；信息咨询服务（不含许可类信息咨询服务）；摄影扩印服务；摄像及视频制作服务；图文设计制作；广告制作；广告设计、代理；广告发布（非广播电台、电视台、报刊出版单位）；专业设计服务；工业设计服务；非居住房地产租赁；住房租赁(除依法须经批准的项目外，凭营业执照依法自主开展经营活动)。许可项目：技术进出口；货物进出口(依法须经批准的项目，经相关部门批准后方可开展经营活动，具体经营项目以审批结果为准)。</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9、股东结构：</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（1）本次交易前：</w:t>
      </w:r>
    </w:p>
    <w:tbl>
      <w:tblPr>
        <w:tblW w:w="9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2"/>
        <w:gridCol w:w="3955"/>
        <w:gridCol w:w="2307"/>
        <w:gridCol w:w="2142"/>
      </w:tblGrid>
      <w:tr w:rsidR="00A6691B" w:rsidRPr="005206FD">
        <w:trPr>
          <w:trHeight w:val="20"/>
          <w:jc w:val="center"/>
        </w:trPr>
        <w:tc>
          <w:tcPr>
            <w:tcW w:w="9046" w:type="dxa"/>
            <w:gridSpan w:val="4"/>
            <w:shd w:val="clear" w:color="auto" w:fill="auto"/>
            <w:vAlign w:val="center"/>
          </w:tcPr>
          <w:p w:rsidR="00A6691B" w:rsidRPr="005206FD" w:rsidRDefault="00084BE1">
            <w:pPr>
              <w:jc w:val="center"/>
              <w:rPr>
                <w:rFonts w:asciiTheme="minorEastAsia" w:hAnsiTheme="minorEastAsia"/>
                <w:b/>
                <w:sz w:val="24"/>
                <w:szCs w:val="24"/>
              </w:rPr>
            </w:pPr>
            <w:bookmarkStart w:id="0" w:name="OLE_LINK17"/>
            <w:bookmarkStart w:id="1" w:name="OLE_LINK18"/>
            <w:r w:rsidRPr="005206FD">
              <w:rPr>
                <w:rFonts w:asciiTheme="minorEastAsia" w:hAnsiTheme="minorEastAsia"/>
                <w:b/>
                <w:sz w:val="24"/>
                <w:szCs w:val="24"/>
              </w:rPr>
              <w:t>本次交易前</w:t>
            </w:r>
          </w:p>
        </w:tc>
      </w:tr>
      <w:tr w:rsidR="00A6691B" w:rsidRPr="005206FD">
        <w:trPr>
          <w:trHeight w:val="20"/>
          <w:jc w:val="center"/>
        </w:trPr>
        <w:tc>
          <w:tcPr>
            <w:tcW w:w="642"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序号</w:t>
            </w:r>
          </w:p>
        </w:tc>
        <w:tc>
          <w:tcPr>
            <w:tcW w:w="3955"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股东名称/姓名</w:t>
            </w:r>
          </w:p>
        </w:tc>
        <w:tc>
          <w:tcPr>
            <w:tcW w:w="2307"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认缴出资（万元）</w:t>
            </w:r>
          </w:p>
        </w:tc>
        <w:tc>
          <w:tcPr>
            <w:tcW w:w="2142"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持股比例</w:t>
            </w:r>
          </w:p>
        </w:tc>
      </w:tr>
      <w:tr w:rsidR="00A6691B" w:rsidRPr="005206FD">
        <w:trPr>
          <w:trHeight w:val="20"/>
          <w:jc w:val="center"/>
        </w:trPr>
        <w:tc>
          <w:tcPr>
            <w:tcW w:w="642"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1</w:t>
            </w:r>
          </w:p>
        </w:tc>
        <w:tc>
          <w:tcPr>
            <w:tcW w:w="3955"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深圳华孚网链投资有限公司</w:t>
            </w:r>
            <w:bookmarkStart w:id="2" w:name="_GoBack"/>
            <w:bookmarkEnd w:id="2"/>
          </w:p>
        </w:tc>
        <w:tc>
          <w:tcPr>
            <w:tcW w:w="2307"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2,316.49</w:t>
            </w:r>
          </w:p>
        </w:tc>
        <w:tc>
          <w:tcPr>
            <w:tcW w:w="2142"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color w:val="303133"/>
                <w:sz w:val="24"/>
                <w:szCs w:val="24"/>
                <w:shd w:val="clear" w:color="auto" w:fill="FFFFFF"/>
              </w:rPr>
              <w:t>64.9515</w:t>
            </w:r>
            <w:r w:rsidRPr="005206FD">
              <w:rPr>
                <w:rFonts w:asciiTheme="minorEastAsia" w:hAnsiTheme="minorEastAsia" w:hint="eastAsia"/>
                <w:color w:val="000000"/>
                <w:sz w:val="24"/>
                <w:szCs w:val="24"/>
              </w:rPr>
              <w:t>%</w:t>
            </w:r>
          </w:p>
        </w:tc>
      </w:tr>
      <w:tr w:rsidR="00A6691B" w:rsidRPr="005206FD">
        <w:trPr>
          <w:trHeight w:val="20"/>
          <w:jc w:val="center"/>
        </w:trPr>
        <w:tc>
          <w:tcPr>
            <w:tcW w:w="642"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2</w:t>
            </w:r>
          </w:p>
        </w:tc>
        <w:tc>
          <w:tcPr>
            <w:tcW w:w="3955" w:type="dxa"/>
            <w:shd w:val="clear" w:color="auto" w:fill="auto"/>
            <w:vAlign w:val="center"/>
          </w:tcPr>
          <w:p w:rsidR="00A6691B" w:rsidRPr="005206FD" w:rsidRDefault="00084BE1">
            <w:pPr>
              <w:jc w:val="center"/>
              <w:rPr>
                <w:rFonts w:asciiTheme="minorEastAsia" w:hAnsiTheme="minorEastAsia"/>
                <w:sz w:val="24"/>
                <w:szCs w:val="24"/>
              </w:rPr>
            </w:pPr>
            <w:proofErr w:type="gramStart"/>
            <w:r w:rsidRPr="005206FD">
              <w:rPr>
                <w:rFonts w:asciiTheme="minorEastAsia" w:hAnsiTheme="minorEastAsia" w:hint="eastAsia"/>
                <w:sz w:val="24"/>
                <w:szCs w:val="24"/>
              </w:rPr>
              <w:t>钟耀栋</w:t>
            </w:r>
            <w:proofErr w:type="gramEnd"/>
          </w:p>
        </w:tc>
        <w:tc>
          <w:tcPr>
            <w:tcW w:w="2307"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1,125.00</w:t>
            </w:r>
          </w:p>
        </w:tc>
        <w:tc>
          <w:tcPr>
            <w:tcW w:w="2142"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color w:val="303133"/>
                <w:sz w:val="24"/>
                <w:szCs w:val="24"/>
                <w:shd w:val="clear" w:color="auto" w:fill="FFFFFF"/>
              </w:rPr>
              <w:t>31.5436</w:t>
            </w:r>
            <w:r w:rsidRPr="005206FD">
              <w:rPr>
                <w:rFonts w:asciiTheme="minorEastAsia" w:hAnsiTheme="minorEastAsia" w:hint="eastAsia"/>
                <w:color w:val="000000"/>
                <w:sz w:val="24"/>
                <w:szCs w:val="24"/>
              </w:rPr>
              <w:t>%</w:t>
            </w:r>
          </w:p>
        </w:tc>
      </w:tr>
      <w:tr w:rsidR="00A6691B" w:rsidRPr="005206FD">
        <w:trPr>
          <w:trHeight w:val="20"/>
          <w:jc w:val="center"/>
        </w:trPr>
        <w:tc>
          <w:tcPr>
            <w:tcW w:w="642"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3</w:t>
            </w:r>
          </w:p>
        </w:tc>
        <w:tc>
          <w:tcPr>
            <w:tcW w:w="3955"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蔡姗妮</w:t>
            </w:r>
          </w:p>
        </w:tc>
        <w:tc>
          <w:tcPr>
            <w:tcW w:w="2307"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125.00</w:t>
            </w:r>
          </w:p>
        </w:tc>
        <w:tc>
          <w:tcPr>
            <w:tcW w:w="2142"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color w:val="303133"/>
                <w:sz w:val="24"/>
                <w:szCs w:val="24"/>
                <w:shd w:val="clear" w:color="auto" w:fill="FFFFFF"/>
              </w:rPr>
              <w:t>3.5048</w:t>
            </w:r>
            <w:r w:rsidRPr="005206FD">
              <w:rPr>
                <w:rFonts w:asciiTheme="minorEastAsia" w:hAnsiTheme="minorEastAsia" w:hint="eastAsia"/>
                <w:color w:val="000000"/>
                <w:sz w:val="24"/>
                <w:szCs w:val="24"/>
              </w:rPr>
              <w:t>%</w:t>
            </w:r>
          </w:p>
        </w:tc>
      </w:tr>
      <w:tr w:rsidR="00A6691B" w:rsidRPr="005206FD">
        <w:trPr>
          <w:trHeight w:val="279"/>
          <w:jc w:val="center"/>
        </w:trPr>
        <w:tc>
          <w:tcPr>
            <w:tcW w:w="4596" w:type="dxa"/>
            <w:gridSpan w:val="2"/>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合计</w:t>
            </w:r>
          </w:p>
        </w:tc>
        <w:tc>
          <w:tcPr>
            <w:tcW w:w="2307"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hint="eastAsia"/>
                <w:b/>
                <w:sz w:val="24"/>
                <w:szCs w:val="24"/>
              </w:rPr>
              <w:t>3,566.49</w:t>
            </w:r>
          </w:p>
        </w:tc>
        <w:tc>
          <w:tcPr>
            <w:tcW w:w="2142"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100%</w:t>
            </w:r>
          </w:p>
        </w:tc>
      </w:tr>
    </w:tbl>
    <w:bookmarkEnd w:id="0"/>
    <w:bookmarkEnd w:id="1"/>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（2）本次交易后</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3934"/>
        <w:gridCol w:w="2278"/>
        <w:gridCol w:w="2147"/>
      </w:tblGrid>
      <w:tr w:rsidR="00A6691B" w:rsidRPr="005206FD">
        <w:trPr>
          <w:trHeight w:val="22"/>
          <w:jc w:val="center"/>
        </w:trPr>
        <w:tc>
          <w:tcPr>
            <w:tcW w:w="9015" w:type="dxa"/>
            <w:gridSpan w:val="4"/>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hint="eastAsia"/>
                <w:b/>
                <w:sz w:val="24"/>
                <w:szCs w:val="24"/>
              </w:rPr>
              <w:t>本次交易</w:t>
            </w:r>
            <w:r w:rsidRPr="005206FD">
              <w:rPr>
                <w:rFonts w:asciiTheme="minorEastAsia" w:hAnsiTheme="minorEastAsia"/>
                <w:b/>
                <w:sz w:val="24"/>
                <w:szCs w:val="24"/>
              </w:rPr>
              <w:t>后</w:t>
            </w:r>
          </w:p>
        </w:tc>
      </w:tr>
      <w:tr w:rsidR="00A6691B" w:rsidRPr="005206FD">
        <w:trPr>
          <w:trHeight w:val="22"/>
          <w:jc w:val="center"/>
        </w:trPr>
        <w:tc>
          <w:tcPr>
            <w:tcW w:w="656"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序号</w:t>
            </w:r>
          </w:p>
        </w:tc>
        <w:tc>
          <w:tcPr>
            <w:tcW w:w="3934"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股东名称/姓名</w:t>
            </w:r>
          </w:p>
        </w:tc>
        <w:tc>
          <w:tcPr>
            <w:tcW w:w="2278"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认缴出资（万元）</w:t>
            </w:r>
          </w:p>
        </w:tc>
        <w:tc>
          <w:tcPr>
            <w:tcW w:w="2147"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持股比例</w:t>
            </w:r>
          </w:p>
        </w:tc>
      </w:tr>
      <w:tr w:rsidR="00A6691B" w:rsidRPr="005206FD">
        <w:trPr>
          <w:trHeight w:val="22"/>
          <w:jc w:val="center"/>
        </w:trPr>
        <w:tc>
          <w:tcPr>
            <w:tcW w:w="656"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1</w:t>
            </w:r>
          </w:p>
        </w:tc>
        <w:tc>
          <w:tcPr>
            <w:tcW w:w="3934"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深圳华孚网链投资有限公司</w:t>
            </w:r>
          </w:p>
        </w:tc>
        <w:tc>
          <w:tcPr>
            <w:tcW w:w="2278"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2,316.49</w:t>
            </w:r>
          </w:p>
        </w:tc>
        <w:tc>
          <w:tcPr>
            <w:tcW w:w="2147" w:type="dxa"/>
            <w:shd w:val="clear" w:color="auto" w:fill="auto"/>
            <w:vAlign w:val="center"/>
          </w:tcPr>
          <w:p w:rsidR="00A6691B" w:rsidRPr="005206FD" w:rsidRDefault="00084BE1">
            <w:pPr>
              <w:jc w:val="center"/>
              <w:textAlignment w:val="center"/>
              <w:rPr>
                <w:rFonts w:asciiTheme="minorEastAsia" w:hAnsiTheme="minorEastAsia"/>
                <w:color w:val="000000"/>
                <w:sz w:val="24"/>
                <w:szCs w:val="24"/>
              </w:rPr>
            </w:pPr>
            <w:r w:rsidRPr="005206FD">
              <w:rPr>
                <w:rFonts w:asciiTheme="minorEastAsia" w:hAnsiTheme="minorEastAsia" w:hint="eastAsia"/>
                <w:color w:val="000000"/>
                <w:sz w:val="24"/>
                <w:szCs w:val="24"/>
              </w:rPr>
              <w:t>50.9424</w:t>
            </w:r>
            <w:r w:rsidRPr="005206FD">
              <w:rPr>
                <w:rFonts w:asciiTheme="minorEastAsia" w:hAnsiTheme="minorEastAsia"/>
                <w:color w:val="000000"/>
                <w:sz w:val="24"/>
                <w:szCs w:val="24"/>
              </w:rPr>
              <w:t>%</w:t>
            </w:r>
          </w:p>
        </w:tc>
      </w:tr>
      <w:tr w:rsidR="00A6691B" w:rsidRPr="005206FD">
        <w:trPr>
          <w:trHeight w:val="22"/>
          <w:jc w:val="center"/>
        </w:trPr>
        <w:tc>
          <w:tcPr>
            <w:tcW w:w="656"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2</w:t>
            </w:r>
          </w:p>
        </w:tc>
        <w:tc>
          <w:tcPr>
            <w:tcW w:w="3934" w:type="dxa"/>
            <w:shd w:val="clear" w:color="auto" w:fill="auto"/>
            <w:vAlign w:val="center"/>
          </w:tcPr>
          <w:p w:rsidR="00A6691B" w:rsidRPr="005206FD" w:rsidRDefault="00084BE1">
            <w:pPr>
              <w:jc w:val="center"/>
              <w:rPr>
                <w:rFonts w:asciiTheme="minorEastAsia" w:hAnsiTheme="minorEastAsia"/>
                <w:sz w:val="24"/>
                <w:szCs w:val="24"/>
              </w:rPr>
            </w:pPr>
            <w:proofErr w:type="gramStart"/>
            <w:r w:rsidRPr="005206FD">
              <w:rPr>
                <w:rFonts w:asciiTheme="minorEastAsia" w:hAnsiTheme="minorEastAsia" w:hint="eastAsia"/>
                <w:sz w:val="24"/>
                <w:szCs w:val="24"/>
              </w:rPr>
              <w:t>钟耀栋</w:t>
            </w:r>
            <w:proofErr w:type="gramEnd"/>
          </w:p>
        </w:tc>
        <w:tc>
          <w:tcPr>
            <w:tcW w:w="2278"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1,125.00</w:t>
            </w:r>
          </w:p>
        </w:tc>
        <w:tc>
          <w:tcPr>
            <w:tcW w:w="2147" w:type="dxa"/>
            <w:shd w:val="clear" w:color="auto" w:fill="auto"/>
            <w:vAlign w:val="center"/>
          </w:tcPr>
          <w:p w:rsidR="00A6691B" w:rsidRPr="005206FD" w:rsidRDefault="00084BE1">
            <w:pPr>
              <w:jc w:val="center"/>
              <w:textAlignment w:val="center"/>
              <w:rPr>
                <w:rFonts w:asciiTheme="minorEastAsia" w:hAnsiTheme="minorEastAsia"/>
                <w:color w:val="000000"/>
                <w:sz w:val="24"/>
                <w:szCs w:val="24"/>
              </w:rPr>
            </w:pPr>
            <w:r w:rsidRPr="005206FD">
              <w:rPr>
                <w:rFonts w:asciiTheme="minorEastAsia" w:hAnsiTheme="minorEastAsia" w:hint="eastAsia"/>
                <w:color w:val="000000"/>
                <w:sz w:val="24"/>
                <w:szCs w:val="24"/>
              </w:rPr>
              <w:t>24.7401</w:t>
            </w:r>
            <w:r w:rsidRPr="005206FD">
              <w:rPr>
                <w:rFonts w:asciiTheme="minorEastAsia" w:hAnsiTheme="minorEastAsia"/>
                <w:color w:val="000000"/>
                <w:sz w:val="24"/>
                <w:szCs w:val="24"/>
              </w:rPr>
              <w:t>%</w:t>
            </w:r>
          </w:p>
        </w:tc>
      </w:tr>
      <w:tr w:rsidR="00A6691B" w:rsidRPr="005206FD">
        <w:trPr>
          <w:trHeight w:val="22"/>
          <w:jc w:val="center"/>
        </w:trPr>
        <w:tc>
          <w:tcPr>
            <w:tcW w:w="656" w:type="dxa"/>
            <w:shd w:val="clear" w:color="auto" w:fill="auto"/>
            <w:vAlign w:val="center"/>
          </w:tcPr>
          <w:p w:rsidR="00A6691B" w:rsidRPr="005206FD" w:rsidRDefault="00084BE1">
            <w:pPr>
              <w:ind w:left="288" w:hangingChars="120" w:hanging="288"/>
              <w:jc w:val="center"/>
              <w:rPr>
                <w:rFonts w:asciiTheme="minorEastAsia" w:hAnsiTheme="minorEastAsia"/>
                <w:sz w:val="24"/>
                <w:szCs w:val="24"/>
              </w:rPr>
            </w:pPr>
            <w:r w:rsidRPr="005206FD">
              <w:rPr>
                <w:rFonts w:asciiTheme="minorEastAsia" w:hAnsiTheme="minorEastAsia" w:hint="eastAsia"/>
                <w:sz w:val="24"/>
                <w:szCs w:val="24"/>
              </w:rPr>
              <w:t>3</w:t>
            </w:r>
          </w:p>
        </w:tc>
        <w:tc>
          <w:tcPr>
            <w:tcW w:w="3934"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蔡姗妮</w:t>
            </w:r>
          </w:p>
        </w:tc>
        <w:tc>
          <w:tcPr>
            <w:tcW w:w="2278"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125.00</w:t>
            </w:r>
          </w:p>
        </w:tc>
        <w:tc>
          <w:tcPr>
            <w:tcW w:w="2147" w:type="dxa"/>
            <w:shd w:val="clear" w:color="auto" w:fill="auto"/>
            <w:vAlign w:val="center"/>
          </w:tcPr>
          <w:p w:rsidR="00A6691B" w:rsidRPr="005206FD" w:rsidRDefault="00084BE1">
            <w:pPr>
              <w:jc w:val="center"/>
              <w:textAlignment w:val="center"/>
              <w:rPr>
                <w:rFonts w:asciiTheme="minorEastAsia" w:hAnsiTheme="minorEastAsia"/>
                <w:color w:val="000000"/>
                <w:sz w:val="24"/>
                <w:szCs w:val="24"/>
              </w:rPr>
            </w:pPr>
            <w:r w:rsidRPr="005206FD">
              <w:rPr>
                <w:rFonts w:asciiTheme="minorEastAsia" w:hAnsiTheme="minorEastAsia" w:hint="eastAsia"/>
                <w:color w:val="000000"/>
                <w:sz w:val="24"/>
                <w:szCs w:val="24"/>
              </w:rPr>
              <w:t>2.7489</w:t>
            </w:r>
            <w:r w:rsidRPr="005206FD">
              <w:rPr>
                <w:rFonts w:asciiTheme="minorEastAsia" w:hAnsiTheme="minorEastAsia"/>
                <w:color w:val="000000"/>
                <w:sz w:val="24"/>
                <w:szCs w:val="24"/>
              </w:rPr>
              <w:t>%</w:t>
            </w:r>
          </w:p>
        </w:tc>
      </w:tr>
      <w:tr w:rsidR="00A6691B" w:rsidRPr="005206FD">
        <w:trPr>
          <w:trHeight w:val="22"/>
          <w:jc w:val="center"/>
        </w:trPr>
        <w:tc>
          <w:tcPr>
            <w:tcW w:w="656"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4</w:t>
            </w:r>
          </w:p>
        </w:tc>
        <w:tc>
          <w:tcPr>
            <w:tcW w:w="3934" w:type="dxa"/>
            <w:shd w:val="clear" w:color="auto" w:fill="auto"/>
            <w:vAlign w:val="center"/>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浙江诸暨转型升级产业基金有限公司</w:t>
            </w:r>
          </w:p>
        </w:tc>
        <w:tc>
          <w:tcPr>
            <w:tcW w:w="2278" w:type="dxa"/>
            <w:shd w:val="clear" w:color="auto" w:fill="auto"/>
            <w:vAlign w:val="center"/>
          </w:tcPr>
          <w:p w:rsidR="00A6691B" w:rsidRPr="005206FD" w:rsidRDefault="00084BE1">
            <w:pPr>
              <w:jc w:val="center"/>
              <w:textAlignment w:val="center"/>
              <w:rPr>
                <w:rFonts w:asciiTheme="minorEastAsia" w:hAnsiTheme="minorEastAsia"/>
                <w:color w:val="000000"/>
                <w:sz w:val="24"/>
                <w:szCs w:val="24"/>
              </w:rPr>
            </w:pPr>
            <w:r w:rsidRPr="005206FD">
              <w:rPr>
                <w:rFonts w:asciiTheme="minorEastAsia" w:hAnsiTheme="minorEastAsia" w:hint="eastAsia"/>
                <w:color w:val="000000"/>
                <w:sz w:val="24"/>
                <w:szCs w:val="24"/>
              </w:rPr>
              <w:t>980.78</w:t>
            </w:r>
          </w:p>
        </w:tc>
        <w:tc>
          <w:tcPr>
            <w:tcW w:w="2147" w:type="dxa"/>
            <w:shd w:val="clear" w:color="auto" w:fill="auto"/>
            <w:vAlign w:val="center"/>
          </w:tcPr>
          <w:p w:rsidR="00A6691B" w:rsidRPr="005206FD" w:rsidRDefault="00084BE1">
            <w:pPr>
              <w:jc w:val="center"/>
              <w:textAlignment w:val="center"/>
              <w:rPr>
                <w:rFonts w:asciiTheme="minorEastAsia" w:hAnsiTheme="minorEastAsia"/>
                <w:color w:val="000000"/>
                <w:sz w:val="24"/>
                <w:szCs w:val="24"/>
              </w:rPr>
            </w:pPr>
            <w:r w:rsidRPr="005206FD">
              <w:rPr>
                <w:rFonts w:asciiTheme="minorEastAsia" w:hAnsiTheme="minorEastAsia" w:hint="eastAsia"/>
                <w:color w:val="000000"/>
                <w:sz w:val="24"/>
                <w:szCs w:val="24"/>
              </w:rPr>
              <w:t>21.5686</w:t>
            </w:r>
            <w:r w:rsidRPr="005206FD">
              <w:rPr>
                <w:rFonts w:asciiTheme="minorEastAsia" w:hAnsiTheme="minorEastAsia"/>
                <w:color w:val="000000"/>
                <w:sz w:val="24"/>
                <w:szCs w:val="24"/>
              </w:rPr>
              <w:t>%</w:t>
            </w:r>
          </w:p>
        </w:tc>
      </w:tr>
      <w:tr w:rsidR="00A6691B" w:rsidRPr="005206FD">
        <w:trPr>
          <w:trHeight w:val="299"/>
          <w:jc w:val="center"/>
        </w:trPr>
        <w:tc>
          <w:tcPr>
            <w:tcW w:w="4590" w:type="dxa"/>
            <w:gridSpan w:val="2"/>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b/>
                <w:sz w:val="24"/>
                <w:szCs w:val="24"/>
              </w:rPr>
              <w:t>合计</w:t>
            </w:r>
          </w:p>
        </w:tc>
        <w:tc>
          <w:tcPr>
            <w:tcW w:w="2278" w:type="dxa"/>
            <w:shd w:val="clear" w:color="auto" w:fill="auto"/>
            <w:vAlign w:val="center"/>
          </w:tcPr>
          <w:p w:rsidR="00A6691B" w:rsidRPr="005206FD" w:rsidRDefault="00084BE1">
            <w:pPr>
              <w:jc w:val="center"/>
              <w:textAlignment w:val="center"/>
              <w:rPr>
                <w:rFonts w:asciiTheme="minorEastAsia" w:hAnsiTheme="minorEastAsia"/>
                <w:b/>
                <w:bCs/>
                <w:sz w:val="24"/>
                <w:szCs w:val="24"/>
              </w:rPr>
            </w:pPr>
            <w:r w:rsidRPr="005206FD">
              <w:rPr>
                <w:rFonts w:asciiTheme="minorEastAsia" w:hAnsiTheme="minorEastAsia" w:hint="eastAsia"/>
                <w:b/>
                <w:bCs/>
                <w:sz w:val="24"/>
                <w:szCs w:val="24"/>
              </w:rPr>
              <w:t>4,547.27</w:t>
            </w:r>
          </w:p>
        </w:tc>
        <w:tc>
          <w:tcPr>
            <w:tcW w:w="2147" w:type="dxa"/>
            <w:shd w:val="clear" w:color="auto" w:fill="auto"/>
            <w:vAlign w:val="center"/>
          </w:tcPr>
          <w:p w:rsidR="00A6691B" w:rsidRPr="005206FD" w:rsidRDefault="00084BE1">
            <w:pPr>
              <w:jc w:val="center"/>
              <w:rPr>
                <w:rFonts w:asciiTheme="minorEastAsia" w:hAnsiTheme="minorEastAsia"/>
                <w:b/>
                <w:sz w:val="24"/>
                <w:szCs w:val="24"/>
              </w:rPr>
            </w:pPr>
            <w:r w:rsidRPr="005206FD">
              <w:rPr>
                <w:rFonts w:asciiTheme="minorEastAsia" w:hAnsiTheme="minorEastAsia" w:hint="eastAsia"/>
                <w:b/>
                <w:sz w:val="24"/>
                <w:szCs w:val="24"/>
              </w:rPr>
              <w:t>100%</w:t>
            </w:r>
          </w:p>
        </w:tc>
      </w:tr>
    </w:tbl>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10、标的公司最近一年一期主要财务数据</w:t>
      </w:r>
    </w:p>
    <w:p w:rsidR="00A6691B" w:rsidRPr="005206FD" w:rsidRDefault="00084BE1">
      <w:pPr>
        <w:autoSpaceDE w:val="0"/>
        <w:autoSpaceDN w:val="0"/>
        <w:adjustRightInd w:val="0"/>
        <w:spacing w:line="500" w:lineRule="exact"/>
        <w:ind w:firstLineChars="200" w:firstLine="480"/>
        <w:jc w:val="righ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单位：万元</w:t>
      </w:r>
    </w:p>
    <w:tbl>
      <w:tblPr>
        <w:tblStyle w:val="a7"/>
        <w:tblW w:w="9047" w:type="dxa"/>
        <w:jc w:val="center"/>
        <w:tblLook w:val="04A0" w:firstRow="1" w:lastRow="0" w:firstColumn="1" w:lastColumn="0" w:noHBand="0" w:noVBand="1"/>
      </w:tblPr>
      <w:tblGrid>
        <w:gridCol w:w="2072"/>
        <w:gridCol w:w="3544"/>
        <w:gridCol w:w="3431"/>
      </w:tblGrid>
      <w:tr w:rsidR="00A6691B" w:rsidRPr="005206FD">
        <w:trPr>
          <w:trHeight w:val="70"/>
          <w:jc w:val="center"/>
        </w:trPr>
        <w:tc>
          <w:tcPr>
            <w:tcW w:w="2072" w:type="dxa"/>
          </w:tcPr>
          <w:p w:rsidR="00A6691B" w:rsidRPr="005206FD" w:rsidRDefault="00084BE1">
            <w:pPr>
              <w:jc w:val="center"/>
              <w:rPr>
                <w:rFonts w:asciiTheme="minorEastAsia" w:hAnsiTheme="minorEastAsia"/>
                <w:b/>
                <w:sz w:val="24"/>
                <w:szCs w:val="24"/>
              </w:rPr>
            </w:pPr>
            <w:r w:rsidRPr="005206FD">
              <w:rPr>
                <w:rFonts w:asciiTheme="minorEastAsia" w:hAnsiTheme="minorEastAsia" w:hint="eastAsia"/>
                <w:b/>
                <w:sz w:val="24"/>
                <w:szCs w:val="24"/>
              </w:rPr>
              <w:t>项目/统计区间</w:t>
            </w:r>
          </w:p>
        </w:tc>
        <w:tc>
          <w:tcPr>
            <w:tcW w:w="3544" w:type="dxa"/>
          </w:tcPr>
          <w:p w:rsidR="00A6691B" w:rsidRPr="005206FD" w:rsidRDefault="00084BE1">
            <w:pPr>
              <w:jc w:val="center"/>
              <w:rPr>
                <w:rFonts w:asciiTheme="minorEastAsia" w:hAnsiTheme="minorEastAsia"/>
                <w:b/>
                <w:sz w:val="24"/>
                <w:szCs w:val="24"/>
              </w:rPr>
            </w:pPr>
            <w:r w:rsidRPr="005206FD">
              <w:rPr>
                <w:rFonts w:asciiTheme="minorEastAsia" w:hAnsiTheme="minorEastAsia" w:hint="eastAsia"/>
                <w:b/>
                <w:sz w:val="24"/>
                <w:szCs w:val="24"/>
              </w:rPr>
              <w:t>2021年12月31日(经审计)</w:t>
            </w:r>
          </w:p>
        </w:tc>
        <w:tc>
          <w:tcPr>
            <w:tcW w:w="3431" w:type="dxa"/>
          </w:tcPr>
          <w:p w:rsidR="00A6691B" w:rsidRPr="005206FD" w:rsidRDefault="00084BE1">
            <w:pPr>
              <w:jc w:val="center"/>
              <w:rPr>
                <w:rFonts w:asciiTheme="minorEastAsia" w:hAnsiTheme="minorEastAsia"/>
                <w:b/>
                <w:sz w:val="24"/>
                <w:szCs w:val="24"/>
              </w:rPr>
            </w:pPr>
            <w:r w:rsidRPr="005206FD">
              <w:rPr>
                <w:rFonts w:asciiTheme="minorEastAsia" w:hAnsiTheme="minorEastAsia" w:hint="eastAsia"/>
                <w:b/>
                <w:sz w:val="24"/>
                <w:szCs w:val="24"/>
              </w:rPr>
              <w:t>2022年</w:t>
            </w:r>
            <w:r w:rsidRPr="005206FD">
              <w:rPr>
                <w:rFonts w:asciiTheme="minorEastAsia" w:hAnsiTheme="minorEastAsia"/>
                <w:b/>
                <w:sz w:val="24"/>
                <w:szCs w:val="24"/>
              </w:rPr>
              <w:t>10</w:t>
            </w:r>
            <w:r w:rsidRPr="005206FD">
              <w:rPr>
                <w:rFonts w:asciiTheme="minorEastAsia" w:hAnsiTheme="minorEastAsia" w:hint="eastAsia"/>
                <w:b/>
                <w:sz w:val="24"/>
                <w:szCs w:val="24"/>
              </w:rPr>
              <w:t>月3</w:t>
            </w:r>
            <w:r w:rsidRPr="005206FD">
              <w:rPr>
                <w:rFonts w:asciiTheme="minorEastAsia" w:hAnsiTheme="minorEastAsia"/>
                <w:b/>
                <w:sz w:val="24"/>
                <w:szCs w:val="24"/>
              </w:rPr>
              <w:t>1</w:t>
            </w:r>
            <w:r w:rsidRPr="005206FD">
              <w:rPr>
                <w:rFonts w:asciiTheme="minorEastAsia" w:hAnsiTheme="minorEastAsia" w:hint="eastAsia"/>
                <w:b/>
                <w:sz w:val="24"/>
                <w:szCs w:val="24"/>
              </w:rPr>
              <w:t>日（未经审计）</w:t>
            </w:r>
          </w:p>
        </w:tc>
      </w:tr>
      <w:tr w:rsidR="00A6691B" w:rsidRPr="005206FD">
        <w:trPr>
          <w:trHeight w:val="83"/>
          <w:jc w:val="center"/>
        </w:trPr>
        <w:tc>
          <w:tcPr>
            <w:tcW w:w="2072" w:type="dxa"/>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资产总额</w:t>
            </w:r>
          </w:p>
        </w:tc>
        <w:tc>
          <w:tcPr>
            <w:tcW w:w="3544"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81,237.82 </w:t>
            </w:r>
          </w:p>
        </w:tc>
        <w:tc>
          <w:tcPr>
            <w:tcW w:w="3431"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w:t>
            </w:r>
            <w:r w:rsidRPr="005206FD">
              <w:rPr>
                <w:rFonts w:asciiTheme="majorEastAsia" w:eastAsiaTheme="majorEastAsia" w:hAnsiTheme="majorEastAsia"/>
                <w:color w:val="000000"/>
                <w:sz w:val="22"/>
              </w:rPr>
              <w:t xml:space="preserve"> 91</w:t>
            </w:r>
            <w:r w:rsidRPr="005206FD">
              <w:rPr>
                <w:rFonts w:asciiTheme="majorEastAsia" w:eastAsiaTheme="majorEastAsia" w:hAnsiTheme="majorEastAsia" w:hint="eastAsia"/>
                <w:color w:val="000000"/>
                <w:sz w:val="22"/>
              </w:rPr>
              <w:t>,</w:t>
            </w:r>
            <w:r w:rsidRPr="005206FD">
              <w:rPr>
                <w:rFonts w:asciiTheme="majorEastAsia" w:eastAsiaTheme="majorEastAsia" w:hAnsiTheme="majorEastAsia"/>
                <w:color w:val="000000"/>
                <w:sz w:val="22"/>
              </w:rPr>
              <w:t>208</w:t>
            </w:r>
            <w:r w:rsidRPr="005206FD">
              <w:rPr>
                <w:rFonts w:asciiTheme="majorEastAsia" w:eastAsiaTheme="majorEastAsia" w:hAnsiTheme="majorEastAsia" w:hint="eastAsia"/>
                <w:color w:val="000000"/>
                <w:sz w:val="22"/>
              </w:rPr>
              <w:t>.</w:t>
            </w:r>
            <w:r w:rsidRPr="005206FD">
              <w:rPr>
                <w:rFonts w:asciiTheme="majorEastAsia" w:eastAsiaTheme="majorEastAsia" w:hAnsiTheme="majorEastAsia"/>
                <w:color w:val="000000"/>
                <w:sz w:val="22"/>
              </w:rPr>
              <w:t>36</w:t>
            </w:r>
          </w:p>
        </w:tc>
      </w:tr>
      <w:tr w:rsidR="00A6691B" w:rsidRPr="005206FD">
        <w:trPr>
          <w:trHeight w:val="70"/>
          <w:jc w:val="center"/>
        </w:trPr>
        <w:tc>
          <w:tcPr>
            <w:tcW w:w="2072" w:type="dxa"/>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负债总额</w:t>
            </w:r>
          </w:p>
        </w:tc>
        <w:tc>
          <w:tcPr>
            <w:tcW w:w="3544"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36,694.59 </w:t>
            </w:r>
          </w:p>
        </w:tc>
        <w:tc>
          <w:tcPr>
            <w:tcW w:w="3431"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w:t>
            </w:r>
            <w:r w:rsidRPr="005206FD">
              <w:rPr>
                <w:rFonts w:asciiTheme="majorEastAsia" w:eastAsiaTheme="majorEastAsia" w:hAnsiTheme="majorEastAsia"/>
                <w:color w:val="000000"/>
                <w:sz w:val="22"/>
              </w:rPr>
              <w:t xml:space="preserve"> 45</w:t>
            </w:r>
            <w:r w:rsidRPr="005206FD">
              <w:rPr>
                <w:rFonts w:asciiTheme="majorEastAsia" w:eastAsiaTheme="majorEastAsia" w:hAnsiTheme="majorEastAsia" w:hint="eastAsia"/>
                <w:color w:val="000000"/>
                <w:sz w:val="22"/>
              </w:rPr>
              <w:t>,</w:t>
            </w:r>
            <w:r w:rsidRPr="005206FD">
              <w:rPr>
                <w:rFonts w:asciiTheme="majorEastAsia" w:eastAsiaTheme="majorEastAsia" w:hAnsiTheme="majorEastAsia"/>
                <w:color w:val="000000"/>
                <w:sz w:val="22"/>
              </w:rPr>
              <w:t>329</w:t>
            </w:r>
            <w:r w:rsidRPr="005206FD">
              <w:rPr>
                <w:rFonts w:asciiTheme="majorEastAsia" w:eastAsiaTheme="majorEastAsia" w:hAnsiTheme="majorEastAsia" w:hint="eastAsia"/>
                <w:color w:val="000000"/>
                <w:sz w:val="22"/>
              </w:rPr>
              <w:t>.</w:t>
            </w:r>
            <w:r w:rsidRPr="005206FD">
              <w:rPr>
                <w:rFonts w:asciiTheme="majorEastAsia" w:eastAsiaTheme="majorEastAsia" w:hAnsiTheme="majorEastAsia"/>
                <w:color w:val="000000"/>
                <w:sz w:val="22"/>
              </w:rPr>
              <w:t>98</w:t>
            </w:r>
          </w:p>
        </w:tc>
      </w:tr>
      <w:tr w:rsidR="00A6691B" w:rsidRPr="005206FD">
        <w:trPr>
          <w:trHeight w:val="70"/>
          <w:jc w:val="center"/>
        </w:trPr>
        <w:tc>
          <w:tcPr>
            <w:tcW w:w="2072" w:type="dxa"/>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净资产</w:t>
            </w:r>
          </w:p>
        </w:tc>
        <w:tc>
          <w:tcPr>
            <w:tcW w:w="3544"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44,543.23 </w:t>
            </w:r>
          </w:p>
        </w:tc>
        <w:tc>
          <w:tcPr>
            <w:tcW w:w="3431" w:type="dxa"/>
          </w:tcPr>
          <w:p w:rsidR="00A6691B" w:rsidRPr="005206FD" w:rsidRDefault="00084BE1">
            <w:pPr>
              <w:widowControl/>
              <w:jc w:val="center"/>
              <w:rPr>
                <w:rFonts w:asciiTheme="majorEastAsia" w:eastAsiaTheme="majorEastAsia" w:hAnsiTheme="majorEastAsia"/>
                <w:color w:val="000000"/>
                <w:sz w:val="22"/>
              </w:rPr>
            </w:pPr>
            <w:r w:rsidRPr="005206FD">
              <w:rPr>
                <w:rFonts w:asciiTheme="majorEastAsia" w:eastAsiaTheme="majorEastAsia" w:hAnsiTheme="majorEastAsia" w:hint="eastAsia"/>
                <w:color w:val="000000"/>
                <w:sz w:val="22"/>
              </w:rPr>
              <w:t xml:space="preserve">         </w:t>
            </w:r>
            <w:r w:rsidRPr="005206FD">
              <w:rPr>
                <w:rFonts w:asciiTheme="majorEastAsia" w:eastAsiaTheme="majorEastAsia" w:hAnsiTheme="majorEastAsia"/>
                <w:color w:val="000000"/>
                <w:sz w:val="22"/>
              </w:rPr>
              <w:t xml:space="preserve">  45</w:t>
            </w:r>
            <w:r w:rsidRPr="005206FD">
              <w:rPr>
                <w:rFonts w:asciiTheme="majorEastAsia" w:eastAsiaTheme="majorEastAsia" w:hAnsiTheme="majorEastAsia" w:hint="eastAsia"/>
                <w:color w:val="000000"/>
                <w:sz w:val="22"/>
              </w:rPr>
              <w:t>,</w:t>
            </w:r>
            <w:r w:rsidRPr="005206FD">
              <w:rPr>
                <w:rFonts w:asciiTheme="majorEastAsia" w:eastAsiaTheme="majorEastAsia" w:hAnsiTheme="majorEastAsia"/>
                <w:color w:val="000000"/>
                <w:sz w:val="22"/>
              </w:rPr>
              <w:t>878</w:t>
            </w:r>
            <w:r w:rsidRPr="005206FD">
              <w:rPr>
                <w:rFonts w:asciiTheme="majorEastAsia" w:eastAsiaTheme="majorEastAsia" w:hAnsiTheme="majorEastAsia" w:hint="eastAsia"/>
                <w:color w:val="000000"/>
                <w:sz w:val="22"/>
              </w:rPr>
              <w:t>.</w:t>
            </w:r>
            <w:r w:rsidRPr="005206FD">
              <w:rPr>
                <w:rFonts w:asciiTheme="majorEastAsia" w:eastAsiaTheme="majorEastAsia" w:hAnsiTheme="majorEastAsia"/>
                <w:color w:val="000000"/>
                <w:sz w:val="22"/>
              </w:rPr>
              <w:t xml:space="preserve">38 </w:t>
            </w:r>
          </w:p>
        </w:tc>
      </w:tr>
      <w:tr w:rsidR="00A6691B" w:rsidRPr="005206FD">
        <w:trPr>
          <w:trHeight w:val="70"/>
          <w:jc w:val="center"/>
        </w:trPr>
        <w:tc>
          <w:tcPr>
            <w:tcW w:w="2072" w:type="dxa"/>
          </w:tcPr>
          <w:p w:rsidR="00A6691B" w:rsidRPr="005206FD" w:rsidRDefault="00084BE1">
            <w:pPr>
              <w:jc w:val="center"/>
              <w:rPr>
                <w:rFonts w:asciiTheme="minorEastAsia" w:hAnsiTheme="minorEastAsia"/>
                <w:b/>
                <w:sz w:val="24"/>
                <w:szCs w:val="24"/>
              </w:rPr>
            </w:pPr>
            <w:r w:rsidRPr="005206FD">
              <w:rPr>
                <w:rFonts w:asciiTheme="minorEastAsia" w:hAnsiTheme="minorEastAsia" w:hint="eastAsia"/>
                <w:b/>
                <w:sz w:val="24"/>
                <w:szCs w:val="24"/>
              </w:rPr>
              <w:t>项目/统计区间</w:t>
            </w:r>
          </w:p>
        </w:tc>
        <w:tc>
          <w:tcPr>
            <w:tcW w:w="3544" w:type="dxa"/>
          </w:tcPr>
          <w:p w:rsidR="00A6691B" w:rsidRPr="005206FD" w:rsidRDefault="00084BE1">
            <w:pPr>
              <w:jc w:val="center"/>
              <w:rPr>
                <w:rFonts w:asciiTheme="minorEastAsia" w:hAnsiTheme="minorEastAsia"/>
                <w:b/>
                <w:sz w:val="24"/>
                <w:szCs w:val="24"/>
              </w:rPr>
            </w:pPr>
            <w:r w:rsidRPr="005206FD">
              <w:rPr>
                <w:rFonts w:asciiTheme="minorEastAsia" w:hAnsiTheme="minorEastAsia" w:hint="eastAsia"/>
                <w:b/>
                <w:sz w:val="24"/>
                <w:szCs w:val="24"/>
              </w:rPr>
              <w:t>2021年12月31日(经审计)</w:t>
            </w:r>
          </w:p>
        </w:tc>
        <w:tc>
          <w:tcPr>
            <w:tcW w:w="3431" w:type="dxa"/>
          </w:tcPr>
          <w:p w:rsidR="00A6691B" w:rsidRPr="005206FD" w:rsidRDefault="00084BE1">
            <w:pPr>
              <w:jc w:val="center"/>
              <w:rPr>
                <w:rFonts w:asciiTheme="minorEastAsia" w:hAnsiTheme="minorEastAsia"/>
                <w:b/>
                <w:sz w:val="24"/>
                <w:szCs w:val="24"/>
              </w:rPr>
            </w:pPr>
            <w:r w:rsidRPr="005206FD">
              <w:rPr>
                <w:rFonts w:asciiTheme="minorEastAsia" w:hAnsiTheme="minorEastAsia" w:hint="eastAsia"/>
                <w:b/>
                <w:sz w:val="24"/>
                <w:szCs w:val="24"/>
              </w:rPr>
              <w:t>2022年10月31日（未经审计）</w:t>
            </w:r>
          </w:p>
        </w:tc>
      </w:tr>
      <w:tr w:rsidR="00A6691B" w:rsidRPr="005206FD">
        <w:trPr>
          <w:trHeight w:val="70"/>
          <w:jc w:val="center"/>
        </w:trPr>
        <w:tc>
          <w:tcPr>
            <w:tcW w:w="2072" w:type="dxa"/>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营业收入</w:t>
            </w:r>
          </w:p>
        </w:tc>
        <w:tc>
          <w:tcPr>
            <w:tcW w:w="3544"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58,960.99 </w:t>
            </w:r>
          </w:p>
        </w:tc>
        <w:tc>
          <w:tcPr>
            <w:tcW w:w="3431"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w:t>
            </w:r>
            <w:r w:rsidRPr="005206FD">
              <w:rPr>
                <w:rFonts w:asciiTheme="majorEastAsia" w:eastAsiaTheme="majorEastAsia" w:hAnsiTheme="majorEastAsia"/>
                <w:color w:val="000000"/>
                <w:sz w:val="22"/>
              </w:rPr>
              <w:t xml:space="preserve"> 50</w:t>
            </w:r>
            <w:r w:rsidRPr="005206FD">
              <w:rPr>
                <w:rFonts w:asciiTheme="majorEastAsia" w:eastAsiaTheme="majorEastAsia" w:hAnsiTheme="majorEastAsia" w:hint="eastAsia"/>
                <w:color w:val="000000"/>
                <w:sz w:val="22"/>
              </w:rPr>
              <w:t>,</w:t>
            </w:r>
            <w:r w:rsidRPr="005206FD">
              <w:rPr>
                <w:rFonts w:asciiTheme="majorEastAsia" w:eastAsiaTheme="majorEastAsia" w:hAnsiTheme="majorEastAsia"/>
                <w:color w:val="000000"/>
                <w:sz w:val="22"/>
              </w:rPr>
              <w:t>445</w:t>
            </w:r>
            <w:r w:rsidRPr="005206FD">
              <w:rPr>
                <w:rFonts w:asciiTheme="majorEastAsia" w:eastAsiaTheme="majorEastAsia" w:hAnsiTheme="majorEastAsia" w:hint="eastAsia"/>
                <w:color w:val="000000"/>
                <w:sz w:val="22"/>
              </w:rPr>
              <w:t>.</w:t>
            </w:r>
            <w:r w:rsidRPr="005206FD">
              <w:rPr>
                <w:rFonts w:asciiTheme="majorEastAsia" w:eastAsiaTheme="majorEastAsia" w:hAnsiTheme="majorEastAsia"/>
                <w:color w:val="000000"/>
                <w:sz w:val="22"/>
              </w:rPr>
              <w:t>91</w:t>
            </w:r>
          </w:p>
        </w:tc>
      </w:tr>
      <w:tr w:rsidR="00A6691B" w:rsidRPr="005206FD">
        <w:trPr>
          <w:trHeight w:val="70"/>
          <w:jc w:val="center"/>
        </w:trPr>
        <w:tc>
          <w:tcPr>
            <w:tcW w:w="2072" w:type="dxa"/>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营业利润</w:t>
            </w:r>
          </w:p>
        </w:tc>
        <w:tc>
          <w:tcPr>
            <w:tcW w:w="3544"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3,135.22 </w:t>
            </w:r>
          </w:p>
        </w:tc>
        <w:tc>
          <w:tcPr>
            <w:tcW w:w="3431"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w:t>
            </w:r>
            <w:r w:rsidRPr="005206FD">
              <w:rPr>
                <w:rFonts w:asciiTheme="majorEastAsia" w:eastAsiaTheme="majorEastAsia" w:hAnsiTheme="majorEastAsia"/>
                <w:color w:val="000000"/>
                <w:sz w:val="22"/>
              </w:rPr>
              <w:t xml:space="preserve"> 426</w:t>
            </w:r>
            <w:r w:rsidRPr="005206FD">
              <w:rPr>
                <w:rFonts w:asciiTheme="majorEastAsia" w:eastAsiaTheme="majorEastAsia" w:hAnsiTheme="majorEastAsia" w:hint="eastAsia"/>
                <w:color w:val="000000"/>
                <w:sz w:val="22"/>
              </w:rPr>
              <w:t>.</w:t>
            </w:r>
            <w:r w:rsidRPr="005206FD">
              <w:rPr>
                <w:rFonts w:asciiTheme="majorEastAsia" w:eastAsiaTheme="majorEastAsia" w:hAnsiTheme="majorEastAsia"/>
                <w:color w:val="000000"/>
                <w:sz w:val="22"/>
              </w:rPr>
              <w:t>31</w:t>
            </w:r>
          </w:p>
        </w:tc>
      </w:tr>
      <w:tr w:rsidR="00A6691B" w:rsidRPr="005206FD">
        <w:trPr>
          <w:trHeight w:val="70"/>
          <w:jc w:val="center"/>
        </w:trPr>
        <w:tc>
          <w:tcPr>
            <w:tcW w:w="2072" w:type="dxa"/>
          </w:tcPr>
          <w:p w:rsidR="00A6691B" w:rsidRPr="005206FD" w:rsidRDefault="00084BE1">
            <w:pPr>
              <w:jc w:val="center"/>
              <w:rPr>
                <w:rFonts w:asciiTheme="minorEastAsia" w:hAnsiTheme="minorEastAsia"/>
                <w:sz w:val="24"/>
                <w:szCs w:val="24"/>
              </w:rPr>
            </w:pPr>
            <w:r w:rsidRPr="005206FD">
              <w:rPr>
                <w:rFonts w:asciiTheme="minorEastAsia" w:hAnsiTheme="minorEastAsia" w:hint="eastAsia"/>
                <w:sz w:val="24"/>
                <w:szCs w:val="24"/>
              </w:rPr>
              <w:t>净利润</w:t>
            </w:r>
          </w:p>
        </w:tc>
        <w:tc>
          <w:tcPr>
            <w:tcW w:w="3544"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3,146.29 </w:t>
            </w:r>
          </w:p>
        </w:tc>
        <w:tc>
          <w:tcPr>
            <w:tcW w:w="3431" w:type="dxa"/>
          </w:tcPr>
          <w:p w:rsidR="00A6691B" w:rsidRPr="005206FD" w:rsidRDefault="00084BE1">
            <w:pPr>
              <w:widowControl/>
              <w:jc w:val="center"/>
              <w:rPr>
                <w:rFonts w:asciiTheme="majorEastAsia" w:eastAsiaTheme="majorEastAsia" w:hAnsiTheme="majorEastAsia"/>
                <w:color w:val="000000"/>
                <w:kern w:val="0"/>
                <w:sz w:val="22"/>
              </w:rPr>
            </w:pPr>
            <w:r w:rsidRPr="005206FD">
              <w:rPr>
                <w:rFonts w:asciiTheme="majorEastAsia" w:eastAsiaTheme="majorEastAsia" w:hAnsiTheme="majorEastAsia" w:hint="eastAsia"/>
                <w:color w:val="000000"/>
                <w:sz w:val="22"/>
              </w:rPr>
              <w:t xml:space="preserve">            </w:t>
            </w:r>
            <w:r w:rsidRPr="005206FD">
              <w:rPr>
                <w:rFonts w:asciiTheme="majorEastAsia" w:eastAsiaTheme="majorEastAsia" w:hAnsiTheme="majorEastAsia"/>
                <w:color w:val="000000"/>
                <w:sz w:val="22"/>
              </w:rPr>
              <w:t xml:space="preserve"> 630</w:t>
            </w:r>
            <w:r w:rsidRPr="005206FD">
              <w:rPr>
                <w:rFonts w:asciiTheme="majorEastAsia" w:eastAsiaTheme="majorEastAsia" w:hAnsiTheme="majorEastAsia" w:hint="eastAsia"/>
                <w:color w:val="000000"/>
                <w:sz w:val="22"/>
              </w:rPr>
              <w:t>.</w:t>
            </w:r>
            <w:r w:rsidRPr="005206FD">
              <w:rPr>
                <w:rFonts w:asciiTheme="majorEastAsia" w:eastAsiaTheme="majorEastAsia" w:hAnsiTheme="majorEastAsia"/>
                <w:color w:val="000000"/>
                <w:sz w:val="22"/>
              </w:rPr>
              <w:t xml:space="preserve">73 </w:t>
            </w:r>
            <w:r w:rsidRPr="005206FD">
              <w:rPr>
                <w:rFonts w:asciiTheme="majorEastAsia" w:eastAsiaTheme="majorEastAsia" w:hAnsiTheme="majorEastAsia" w:hint="eastAsia"/>
                <w:color w:val="000000"/>
                <w:sz w:val="22"/>
              </w:rPr>
              <w:t xml:space="preserve"> </w:t>
            </w:r>
          </w:p>
        </w:tc>
      </w:tr>
    </w:tbl>
    <w:p w:rsidR="00A6691B" w:rsidRPr="005206FD" w:rsidRDefault="00084BE1">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5206FD">
        <w:rPr>
          <w:rFonts w:asciiTheme="minorEastAsia" w:hAnsiTheme="minorEastAsia" w:cs="宋体" w:hint="eastAsia"/>
          <w:b/>
          <w:color w:val="000000"/>
          <w:kern w:val="0"/>
          <w:sz w:val="24"/>
          <w:szCs w:val="24"/>
        </w:rPr>
        <w:t>三、协议主要内容</w:t>
      </w:r>
    </w:p>
    <w:p w:rsidR="00A6691B" w:rsidRPr="005206FD" w:rsidRDefault="00084BE1" w:rsidP="00F83D84">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1、签署主体</w:t>
      </w:r>
    </w:p>
    <w:p w:rsidR="00A6691B" w:rsidRPr="005206FD" w:rsidRDefault="00084BE1" w:rsidP="00F83D84">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合同方1：浙江诸暨转型升级产业基金有限公司（投资方）</w:t>
      </w:r>
    </w:p>
    <w:p w:rsidR="00A6691B" w:rsidRPr="005206FD" w:rsidRDefault="00084BE1" w:rsidP="00F83D84">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合同方2：深圳华孚网链投资有限公司（标的公司原股东）</w:t>
      </w:r>
    </w:p>
    <w:p w:rsidR="00A6691B" w:rsidRPr="005206FD" w:rsidRDefault="00084BE1" w:rsidP="00F83D84">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合同方3：钟耀栋（标的公司原股东）</w:t>
      </w:r>
    </w:p>
    <w:p w:rsidR="00A6691B" w:rsidRPr="005206FD" w:rsidRDefault="00084BE1" w:rsidP="00F83D84">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合同方4：蔡姗妮（标的公司原股东）</w:t>
      </w:r>
    </w:p>
    <w:p w:rsidR="00A6691B" w:rsidRPr="005206FD" w:rsidRDefault="00084BE1" w:rsidP="00F83D84">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合同方5：浙江鲲驰互联科技有限公司（标的公司）</w:t>
      </w:r>
    </w:p>
    <w:p w:rsidR="00A6691B" w:rsidRPr="005206FD" w:rsidRDefault="00084BE1" w:rsidP="00F83D84">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合同方6：华孚时尚股份有限公司</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2、增资金额及股权</w:t>
      </w:r>
    </w:p>
    <w:p w:rsidR="00A6691B" w:rsidRPr="005206FD" w:rsidRDefault="00084BE1">
      <w:pPr>
        <w:autoSpaceDE w:val="0"/>
        <w:autoSpaceDN w:val="0"/>
        <w:adjustRightInd w:val="0"/>
        <w:spacing w:line="500" w:lineRule="exact"/>
        <w:ind w:firstLineChars="200" w:firstLine="480"/>
        <w:jc w:val="left"/>
        <w:rPr>
          <w:rFonts w:asciiTheme="minorEastAsia" w:hAnsiTheme="minorEastAsia"/>
          <w:sz w:val="24"/>
          <w:szCs w:val="24"/>
        </w:rPr>
      </w:pPr>
      <w:r w:rsidRPr="005206FD">
        <w:rPr>
          <w:rFonts w:asciiTheme="minorEastAsia" w:hAnsiTheme="minorEastAsia" w:cs="宋体" w:hint="eastAsia"/>
          <w:color w:val="000000"/>
          <w:kern w:val="0"/>
          <w:sz w:val="24"/>
          <w:szCs w:val="24"/>
        </w:rPr>
        <w:t>标的公司原股东同意将标的公司注册资本将人民币3,566.49万元增加到4,547.27万元，新增注册资本980.78万元。投资方同意以现金22,000万元认缴注册资本980.78万元，其中980.78万元计入注册资本，21,019.22万元计入资本公积，本次增资完成后，投资方持有标的公司</w:t>
      </w:r>
      <w:r w:rsidRPr="005206FD">
        <w:rPr>
          <w:rFonts w:asciiTheme="minorEastAsia" w:hAnsiTheme="minorEastAsia" w:hint="eastAsia"/>
          <w:sz w:val="24"/>
          <w:szCs w:val="24"/>
        </w:rPr>
        <w:t>21.5686</w:t>
      </w:r>
      <w:r w:rsidRPr="005206FD">
        <w:rPr>
          <w:rFonts w:asciiTheme="minorEastAsia" w:hAnsiTheme="minorEastAsia"/>
          <w:sz w:val="24"/>
          <w:szCs w:val="24"/>
        </w:rPr>
        <w:t>%</w:t>
      </w:r>
      <w:r w:rsidRPr="005206FD">
        <w:rPr>
          <w:rFonts w:asciiTheme="minorEastAsia" w:hAnsiTheme="minorEastAsia" w:hint="eastAsia"/>
          <w:sz w:val="24"/>
          <w:szCs w:val="24"/>
        </w:rPr>
        <w:t>的股权。</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3、出资</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投资方应当于交割日以电汇的方式将投资款支付至标的公司指定银行账户，投资款到达标的公司资本金账户的第二个工作日，标的公司应向投资方出具出资证明书，证明其认缴的注册资本已全部实缴到位。</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4、本次交割的先决条件</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（1）交割的先决条件</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投资方履行其交割时在本协议项下之义务的前提条件是以下相应的各项条件均须予以满足，除非投资方在交割日或之前，有条件或无条件书面放弃以下一项或多项条件：</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w:t>
      </w:r>
      <w:r w:rsidRPr="005206FD">
        <w:rPr>
          <w:rFonts w:asciiTheme="minorEastAsia" w:hAnsiTheme="minorEastAsia" w:cs="宋体" w:hint="eastAsia"/>
          <w:color w:val="000000"/>
          <w:kern w:val="0"/>
          <w:sz w:val="24"/>
          <w:szCs w:val="24"/>
        </w:rPr>
        <w:tab/>
        <w:t>现有股东在本协议项下做出的每一项声明和保证、承诺均为真实、准确、完整且不具有误导性；现有股东已经完全并按时地履行了其在本协议以及其他交易文件中规定的全部义务，且不存在任何未履行前述义务的情况；</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2.</w:t>
      </w:r>
      <w:r w:rsidRPr="005206FD">
        <w:rPr>
          <w:rFonts w:asciiTheme="minorEastAsia" w:hAnsiTheme="minorEastAsia" w:cs="宋体" w:hint="eastAsia"/>
          <w:color w:val="000000"/>
          <w:kern w:val="0"/>
          <w:sz w:val="24"/>
          <w:szCs w:val="24"/>
        </w:rPr>
        <w:tab/>
        <w:t>标的公司及控股股东、实际控制人向投资方提供的财务报表、财务报告、账册或其他财务记录均按照会计准则按照与标的公司以前惯例相符的一贯性原则，根据标的公司的账簿和其他财务记录编制的，真实、准确、完整、公允地反映了截止财务报表基准日或相应期间内标的公司的财务状况和经营成果，并纳入了反映标的公司实际财务状况和经营成果所必需的全部调整，且直至交割日，公司在经营、效益、财务及财产状况方面不会发生任何重大不利变化；</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3.</w:t>
      </w:r>
      <w:r w:rsidRPr="005206FD">
        <w:rPr>
          <w:rFonts w:asciiTheme="minorEastAsia" w:hAnsiTheme="minorEastAsia" w:cs="宋体" w:hint="eastAsia"/>
          <w:color w:val="000000"/>
          <w:kern w:val="0"/>
          <w:sz w:val="24"/>
          <w:szCs w:val="24"/>
        </w:rPr>
        <w:tab/>
        <w:t>相关各方已经适当签署本次交易的全部交易文件，且该等文件的内容与格式令投资方满意；</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4.</w:t>
      </w:r>
      <w:r w:rsidRPr="005206FD">
        <w:rPr>
          <w:rFonts w:asciiTheme="minorEastAsia" w:hAnsiTheme="minorEastAsia" w:cs="宋体" w:hint="eastAsia"/>
          <w:color w:val="000000"/>
          <w:kern w:val="0"/>
          <w:sz w:val="24"/>
          <w:szCs w:val="24"/>
        </w:rPr>
        <w:tab/>
        <w:t>标的公司与各相关方已取得必要的股东会决议、董事会决议等内部决议原件，批准本次股权投资（其中</w:t>
      </w:r>
      <w:proofErr w:type="gramStart"/>
      <w:r w:rsidRPr="005206FD">
        <w:rPr>
          <w:rFonts w:asciiTheme="minorEastAsia" w:hAnsiTheme="minorEastAsia" w:cs="宋体" w:hint="eastAsia"/>
          <w:color w:val="000000"/>
          <w:kern w:val="0"/>
          <w:sz w:val="24"/>
          <w:szCs w:val="24"/>
        </w:rPr>
        <w:t>实控人回购</w:t>
      </w:r>
      <w:proofErr w:type="gramEnd"/>
      <w:r w:rsidRPr="005206FD">
        <w:rPr>
          <w:rFonts w:asciiTheme="minorEastAsia" w:hAnsiTheme="minorEastAsia" w:cs="宋体" w:hint="eastAsia"/>
          <w:color w:val="000000"/>
          <w:kern w:val="0"/>
          <w:sz w:val="24"/>
          <w:szCs w:val="24"/>
        </w:rPr>
        <w:t>需要提供股东大会的相关决策资料的原件）；</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5.</w:t>
      </w:r>
      <w:r w:rsidRPr="005206FD">
        <w:rPr>
          <w:rFonts w:asciiTheme="minorEastAsia" w:hAnsiTheme="minorEastAsia" w:cs="宋体" w:hint="eastAsia"/>
          <w:color w:val="000000"/>
          <w:kern w:val="0"/>
          <w:sz w:val="24"/>
          <w:szCs w:val="24"/>
        </w:rPr>
        <w:tab/>
        <w:t>标的公司创始股东在本轮投资之前完成目标公司认缴注册资金的实缴，并配合完成原卡拉美拉的相关回购事宜。</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6.</w:t>
      </w:r>
      <w:r w:rsidRPr="005206FD">
        <w:rPr>
          <w:rFonts w:asciiTheme="minorEastAsia" w:hAnsiTheme="minorEastAsia" w:cs="宋体" w:hint="eastAsia"/>
          <w:color w:val="000000"/>
          <w:kern w:val="0"/>
          <w:sz w:val="24"/>
          <w:szCs w:val="24"/>
        </w:rPr>
        <w:tab/>
        <w:t>标的公司已取得所有关于本次交易的第三方同意与批准（包括但不限于现有股东对本次交易的优先认购权、其他限制公司增资扩股权利的放弃等）；</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7.</w:t>
      </w:r>
      <w:r w:rsidRPr="005206FD">
        <w:rPr>
          <w:rFonts w:asciiTheme="minorEastAsia" w:hAnsiTheme="minorEastAsia" w:cs="宋体" w:hint="eastAsia"/>
          <w:color w:val="000000"/>
          <w:kern w:val="0"/>
          <w:sz w:val="24"/>
          <w:szCs w:val="24"/>
        </w:rPr>
        <w:tab/>
        <w:t>标的公司及</w:t>
      </w:r>
      <w:proofErr w:type="gramStart"/>
      <w:r w:rsidRPr="005206FD">
        <w:rPr>
          <w:rFonts w:asciiTheme="minorEastAsia" w:hAnsiTheme="minorEastAsia" w:cs="宋体" w:hint="eastAsia"/>
          <w:color w:val="000000"/>
          <w:kern w:val="0"/>
          <w:sz w:val="24"/>
          <w:szCs w:val="24"/>
        </w:rPr>
        <w:t>各现有</w:t>
      </w:r>
      <w:proofErr w:type="gramEnd"/>
      <w:r w:rsidRPr="005206FD">
        <w:rPr>
          <w:rFonts w:asciiTheme="minorEastAsia" w:hAnsiTheme="minorEastAsia" w:cs="宋体" w:hint="eastAsia"/>
          <w:color w:val="000000"/>
          <w:kern w:val="0"/>
          <w:sz w:val="24"/>
          <w:szCs w:val="24"/>
        </w:rPr>
        <w:t>股东未违反本协议和/或股东协议项下的义务和责任；</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8.</w:t>
      </w:r>
      <w:r w:rsidRPr="005206FD">
        <w:rPr>
          <w:rFonts w:asciiTheme="minorEastAsia" w:hAnsiTheme="minorEastAsia" w:cs="宋体" w:hint="eastAsia"/>
          <w:color w:val="000000"/>
          <w:kern w:val="0"/>
          <w:sz w:val="24"/>
          <w:szCs w:val="24"/>
        </w:rPr>
        <w:tab/>
        <w:t>协议中所列标的公司及实际控制人声明和保证保持真实、准确及完整；</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9.</w:t>
      </w:r>
      <w:r w:rsidRPr="005206FD">
        <w:rPr>
          <w:rFonts w:asciiTheme="minorEastAsia" w:hAnsiTheme="minorEastAsia" w:cs="宋体" w:hint="eastAsia"/>
          <w:color w:val="000000"/>
          <w:kern w:val="0"/>
          <w:sz w:val="24"/>
          <w:szCs w:val="24"/>
        </w:rPr>
        <w:tab/>
        <w:t>标的公司未发生重大不利变化；</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10.没有政府机构制定、发布、颁布、实施或通过任何使本协议项下的交易违法或限制/阻止该等交易完成的法律或政府法令（无论是临时的、初始的或是永久的）；</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11. 标的公司已尽最大努力按照投资方要求提供资料，配合投资方的尽职调查工作，包括并不限于财务、法律、业务、人员等方面，且该等资料均系真实、合法、有效，并无任何故意隐瞒、虚假陈述和重大遗漏。同时，投资方组织的尽职调查结果令投资方满意。</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5、交割完成前的义务</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（1）一般义务</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1.现有股东及实际控制人在此共同且连带地保证：自本协议签署日起（含该日）至交割日期间，标的公司应当且现有股东及实际控制人应当促使每一集团公司：</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(a)以符特定形式公司、现有股东及实际控制人声明和保证的方式开展其在本协议签署日之前一般和惯常业务过程中经营的业务，未经投资方事先书面同意，其性质、范围或方式不应发生任何实质性改变；及</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(b)不得签订任何可能导致其发生重大不利变化的合同或协议或</w:t>
      </w:r>
      <w:proofErr w:type="gramStart"/>
      <w:r w:rsidRPr="005206FD">
        <w:rPr>
          <w:rFonts w:asciiTheme="minorEastAsia" w:hAnsiTheme="minorEastAsia" w:cs="宋体" w:hint="eastAsia"/>
          <w:color w:val="000000"/>
          <w:kern w:val="0"/>
          <w:sz w:val="24"/>
          <w:szCs w:val="24"/>
        </w:rPr>
        <w:t>作出</w:t>
      </w:r>
      <w:proofErr w:type="gramEnd"/>
      <w:r w:rsidRPr="005206FD">
        <w:rPr>
          <w:rFonts w:asciiTheme="minorEastAsia" w:hAnsiTheme="minorEastAsia" w:cs="宋体" w:hint="eastAsia"/>
          <w:color w:val="000000"/>
          <w:kern w:val="0"/>
          <w:sz w:val="24"/>
          <w:szCs w:val="24"/>
        </w:rPr>
        <w:t>任何该等承诺。</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(c)不得从事、允许或促成任何会构成或导致实质性违反本协议规定的任何陈述和保证、或会导致任何交易文件无法履行的作为或不作为。</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2.自本协议签署日至交割日期间，投资方及其代表在给予合理通知的情况下，可为下述目的接触标的公司的外部会计师、法律顾问、公司的董事、高级管理人员，及查阅公司的账册、文件、报告和记录：</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(a)核实本协议条款的执行情况；</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(b)核实标的公司及现有股东、实际控制人声明和保证的遵守情况；</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(c)就标的公司的财务、法律、业务经营等状况进行审查、核实及尽职调查工作。</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（2）过渡期限制</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在不影响一般义务原则性规定的前提下，自本协议签署日至交割日期间（“过渡期”）标的公司、现有股东及实际控制人应促使每一集团公司仅应在以书面形式事先通知投资方并得到投资方事先书面同意后，方可从事下列任何活动：</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(a)除本次交易及本协议另有约定外，增加或减少注册资本，包括任何可以转化为标的公司注册资本的证券或借入任何可转换债务，变更公司的股权结构；</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(b)向或同意向股东宣派或支付任何股息或</w:t>
      </w:r>
      <w:proofErr w:type="gramStart"/>
      <w:r w:rsidRPr="005206FD">
        <w:rPr>
          <w:rFonts w:asciiTheme="minorEastAsia" w:hAnsiTheme="minorEastAsia" w:cs="宋体" w:hint="eastAsia"/>
          <w:color w:val="000000"/>
          <w:kern w:val="0"/>
          <w:sz w:val="24"/>
          <w:szCs w:val="24"/>
        </w:rPr>
        <w:t>作出</w:t>
      </w:r>
      <w:proofErr w:type="gramEnd"/>
      <w:r w:rsidRPr="005206FD">
        <w:rPr>
          <w:rFonts w:asciiTheme="minorEastAsia" w:hAnsiTheme="minorEastAsia" w:cs="宋体" w:hint="eastAsia"/>
          <w:color w:val="000000"/>
          <w:kern w:val="0"/>
          <w:sz w:val="24"/>
          <w:szCs w:val="24"/>
        </w:rPr>
        <w:t>其他分配；</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 xml:space="preserve">(c)向或同意向股东或该等股东的关联方支付任何单笔金额超过人民币 </w:t>
      </w:r>
      <w:r w:rsidRPr="005206FD">
        <w:rPr>
          <w:rFonts w:asciiTheme="minorEastAsia" w:hAnsiTheme="minorEastAsia" w:cs="宋体"/>
          <w:color w:val="000000"/>
          <w:kern w:val="0"/>
          <w:sz w:val="24"/>
          <w:szCs w:val="24"/>
        </w:rPr>
        <w:t>5</w:t>
      </w:r>
      <w:r w:rsidRPr="005206FD">
        <w:rPr>
          <w:rFonts w:asciiTheme="minorEastAsia" w:hAnsiTheme="minorEastAsia" w:cs="宋体" w:hint="eastAsia"/>
          <w:color w:val="000000"/>
          <w:kern w:val="0"/>
          <w:sz w:val="24"/>
          <w:szCs w:val="24"/>
        </w:rPr>
        <w:t>,</w:t>
      </w:r>
      <w:r w:rsidRPr="005206FD">
        <w:rPr>
          <w:rFonts w:asciiTheme="minorEastAsia" w:hAnsiTheme="minorEastAsia" w:cs="宋体"/>
          <w:color w:val="000000"/>
          <w:kern w:val="0"/>
          <w:sz w:val="24"/>
          <w:szCs w:val="24"/>
        </w:rPr>
        <w:t>000</w:t>
      </w:r>
      <w:r w:rsidRPr="005206FD">
        <w:rPr>
          <w:rFonts w:asciiTheme="minorEastAsia" w:hAnsiTheme="minorEastAsia" w:cs="宋体" w:hint="eastAsia"/>
          <w:color w:val="000000"/>
          <w:kern w:val="0"/>
          <w:sz w:val="24"/>
          <w:szCs w:val="24"/>
        </w:rPr>
        <w:t>万元或年度累计金额超过人民币</w:t>
      </w:r>
      <w:r w:rsidRPr="005206FD">
        <w:rPr>
          <w:rFonts w:asciiTheme="minorEastAsia" w:hAnsiTheme="minorEastAsia" w:cs="宋体"/>
          <w:color w:val="000000"/>
          <w:kern w:val="0"/>
          <w:sz w:val="24"/>
          <w:szCs w:val="24"/>
        </w:rPr>
        <w:t>10</w:t>
      </w:r>
      <w:r w:rsidRPr="005206FD">
        <w:rPr>
          <w:rFonts w:asciiTheme="minorEastAsia" w:hAnsiTheme="minorEastAsia" w:cs="宋体" w:hint="eastAsia"/>
          <w:color w:val="000000"/>
          <w:kern w:val="0"/>
          <w:sz w:val="24"/>
          <w:szCs w:val="24"/>
        </w:rPr>
        <w:t>,</w:t>
      </w:r>
      <w:r w:rsidRPr="005206FD">
        <w:rPr>
          <w:rFonts w:asciiTheme="minorEastAsia" w:hAnsiTheme="minorEastAsia" w:cs="宋体"/>
          <w:color w:val="000000"/>
          <w:kern w:val="0"/>
          <w:sz w:val="24"/>
          <w:szCs w:val="24"/>
        </w:rPr>
        <w:t>000</w:t>
      </w:r>
      <w:r w:rsidRPr="005206FD">
        <w:rPr>
          <w:rFonts w:asciiTheme="minorEastAsia" w:hAnsiTheme="minorEastAsia" w:cs="宋体" w:hint="eastAsia"/>
          <w:color w:val="000000"/>
          <w:kern w:val="0"/>
          <w:sz w:val="24"/>
          <w:szCs w:val="24"/>
        </w:rPr>
        <w:t>万元的款项；</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(d)本协议另有约定外，实施任何形式的重组，包括但不限于任何收购、处置、合并、整合或其他机构重整；</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(e)收购、出售、转让、租赁或处置每项价值超过人民币1,</w:t>
      </w:r>
      <w:r w:rsidRPr="005206FD">
        <w:rPr>
          <w:rFonts w:asciiTheme="minorEastAsia" w:hAnsiTheme="minorEastAsia" w:cs="宋体"/>
          <w:color w:val="000000"/>
          <w:kern w:val="0"/>
          <w:sz w:val="24"/>
          <w:szCs w:val="24"/>
        </w:rPr>
        <w:t>000</w:t>
      </w:r>
      <w:r w:rsidRPr="005206FD">
        <w:rPr>
          <w:rFonts w:asciiTheme="minorEastAsia" w:hAnsiTheme="minorEastAsia" w:cs="宋体" w:hint="eastAsia"/>
          <w:color w:val="000000"/>
          <w:kern w:val="0"/>
          <w:sz w:val="24"/>
          <w:szCs w:val="24"/>
        </w:rPr>
        <w:t>万元或合计价值超过人民币</w:t>
      </w:r>
      <w:r w:rsidRPr="005206FD">
        <w:rPr>
          <w:rFonts w:asciiTheme="minorEastAsia" w:hAnsiTheme="minorEastAsia" w:cs="宋体"/>
          <w:color w:val="000000"/>
          <w:kern w:val="0"/>
          <w:sz w:val="24"/>
          <w:szCs w:val="24"/>
        </w:rPr>
        <w:t>5</w:t>
      </w:r>
      <w:r w:rsidRPr="005206FD">
        <w:rPr>
          <w:rFonts w:asciiTheme="minorEastAsia" w:hAnsiTheme="minorEastAsia" w:cs="宋体" w:hint="eastAsia"/>
          <w:color w:val="000000"/>
          <w:kern w:val="0"/>
          <w:sz w:val="24"/>
          <w:szCs w:val="24"/>
        </w:rPr>
        <w:t>,</w:t>
      </w:r>
      <w:r w:rsidRPr="005206FD">
        <w:rPr>
          <w:rFonts w:asciiTheme="minorEastAsia" w:hAnsiTheme="minorEastAsia" w:cs="宋体"/>
          <w:color w:val="000000"/>
          <w:kern w:val="0"/>
          <w:sz w:val="24"/>
          <w:szCs w:val="24"/>
        </w:rPr>
        <w:t>000</w:t>
      </w:r>
      <w:r w:rsidRPr="005206FD">
        <w:rPr>
          <w:rFonts w:asciiTheme="minorEastAsia" w:hAnsiTheme="minorEastAsia" w:cs="宋体" w:hint="eastAsia"/>
          <w:color w:val="000000"/>
          <w:kern w:val="0"/>
          <w:sz w:val="24"/>
          <w:szCs w:val="24"/>
        </w:rPr>
        <w:t>万元的任何资产；</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(f)对每项价值超过人民币</w:t>
      </w:r>
      <w:r w:rsidRPr="005206FD">
        <w:rPr>
          <w:rFonts w:asciiTheme="minorEastAsia" w:hAnsiTheme="minorEastAsia" w:cs="宋体"/>
          <w:color w:val="000000"/>
          <w:kern w:val="0"/>
          <w:sz w:val="24"/>
          <w:szCs w:val="24"/>
        </w:rPr>
        <w:t>1</w:t>
      </w:r>
      <w:r w:rsidRPr="005206FD">
        <w:rPr>
          <w:rFonts w:asciiTheme="minorEastAsia" w:hAnsiTheme="minorEastAsia" w:cs="宋体" w:hint="eastAsia"/>
          <w:color w:val="000000"/>
          <w:kern w:val="0"/>
          <w:sz w:val="24"/>
          <w:szCs w:val="24"/>
        </w:rPr>
        <w:t>,</w:t>
      </w:r>
      <w:r w:rsidRPr="005206FD">
        <w:rPr>
          <w:rFonts w:asciiTheme="minorEastAsia" w:hAnsiTheme="minorEastAsia" w:cs="宋体"/>
          <w:color w:val="000000"/>
          <w:kern w:val="0"/>
          <w:sz w:val="24"/>
          <w:szCs w:val="24"/>
        </w:rPr>
        <w:t>000</w:t>
      </w:r>
      <w:r w:rsidRPr="005206FD">
        <w:rPr>
          <w:rFonts w:asciiTheme="minorEastAsia" w:hAnsiTheme="minorEastAsia" w:cs="宋体" w:hint="eastAsia"/>
          <w:color w:val="000000"/>
          <w:kern w:val="0"/>
          <w:sz w:val="24"/>
          <w:szCs w:val="24"/>
        </w:rPr>
        <w:t>万元或合计价值超过人民币2,</w:t>
      </w:r>
      <w:r w:rsidRPr="005206FD">
        <w:rPr>
          <w:rFonts w:asciiTheme="minorEastAsia" w:hAnsiTheme="minorEastAsia" w:cs="宋体"/>
          <w:color w:val="000000"/>
          <w:kern w:val="0"/>
          <w:sz w:val="24"/>
          <w:szCs w:val="24"/>
        </w:rPr>
        <w:t>000</w:t>
      </w:r>
      <w:r w:rsidRPr="005206FD">
        <w:rPr>
          <w:rFonts w:asciiTheme="minorEastAsia" w:hAnsiTheme="minorEastAsia" w:cs="宋体" w:hint="eastAsia"/>
          <w:color w:val="000000"/>
          <w:kern w:val="0"/>
          <w:sz w:val="24"/>
          <w:szCs w:val="24"/>
        </w:rPr>
        <w:t>万元的任何资产设置担保权益，或为包括实际控制人在内的任何第三方提供任何保证或担保；</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(g)发生超过人民币</w:t>
      </w:r>
      <w:r w:rsidRPr="005206FD">
        <w:rPr>
          <w:rFonts w:asciiTheme="minorEastAsia" w:hAnsiTheme="minorEastAsia" w:cs="宋体"/>
          <w:color w:val="000000"/>
          <w:kern w:val="0"/>
          <w:sz w:val="24"/>
          <w:szCs w:val="24"/>
        </w:rPr>
        <w:t>5</w:t>
      </w:r>
      <w:r w:rsidRPr="005206FD">
        <w:rPr>
          <w:rFonts w:asciiTheme="minorEastAsia" w:hAnsiTheme="minorEastAsia" w:cs="宋体" w:hint="eastAsia"/>
          <w:color w:val="000000"/>
          <w:kern w:val="0"/>
          <w:sz w:val="24"/>
          <w:szCs w:val="24"/>
        </w:rPr>
        <w:t>,</w:t>
      </w:r>
      <w:r w:rsidRPr="005206FD">
        <w:rPr>
          <w:rFonts w:asciiTheme="minorEastAsia" w:hAnsiTheme="minorEastAsia" w:cs="宋体"/>
          <w:color w:val="000000"/>
          <w:kern w:val="0"/>
          <w:sz w:val="24"/>
          <w:szCs w:val="24"/>
        </w:rPr>
        <w:t>000</w:t>
      </w:r>
      <w:r w:rsidRPr="005206FD">
        <w:rPr>
          <w:rFonts w:asciiTheme="minorEastAsia" w:hAnsiTheme="minorEastAsia" w:cs="宋体" w:hint="eastAsia"/>
          <w:color w:val="000000"/>
          <w:kern w:val="0"/>
          <w:sz w:val="24"/>
          <w:szCs w:val="24"/>
        </w:rPr>
        <w:t>万元的任何资本支出；</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(h)认购或同意认购任何其他实体的股本、股票或股权，或与其他任何实体进行合伙、联营，合营或其他合作，或就上述事项达成协议或安排；</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(i)对其现行会计政策和适用</w:t>
      </w:r>
      <w:proofErr w:type="gramStart"/>
      <w:r w:rsidRPr="005206FD">
        <w:rPr>
          <w:rFonts w:asciiTheme="minorEastAsia" w:hAnsiTheme="minorEastAsia" w:cs="宋体" w:hint="eastAsia"/>
          <w:color w:val="000000"/>
          <w:kern w:val="0"/>
          <w:sz w:val="24"/>
          <w:szCs w:val="24"/>
        </w:rPr>
        <w:t>作出</w:t>
      </w:r>
      <w:proofErr w:type="gramEnd"/>
      <w:r w:rsidRPr="005206FD">
        <w:rPr>
          <w:rFonts w:asciiTheme="minorEastAsia" w:hAnsiTheme="minorEastAsia" w:cs="宋体" w:hint="eastAsia"/>
          <w:color w:val="000000"/>
          <w:kern w:val="0"/>
          <w:sz w:val="24"/>
          <w:szCs w:val="24"/>
        </w:rPr>
        <w:t>任何变更；</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(j)对章程</w:t>
      </w:r>
      <w:proofErr w:type="gramStart"/>
      <w:r w:rsidRPr="005206FD">
        <w:rPr>
          <w:rFonts w:asciiTheme="minorEastAsia" w:hAnsiTheme="minorEastAsia" w:cs="宋体" w:hint="eastAsia"/>
          <w:color w:val="000000"/>
          <w:kern w:val="0"/>
          <w:sz w:val="24"/>
          <w:szCs w:val="24"/>
        </w:rPr>
        <w:t>作出</w:t>
      </w:r>
      <w:proofErr w:type="gramEnd"/>
      <w:r w:rsidRPr="005206FD">
        <w:rPr>
          <w:rFonts w:asciiTheme="minorEastAsia" w:hAnsiTheme="minorEastAsia" w:cs="宋体" w:hint="eastAsia"/>
          <w:color w:val="000000"/>
          <w:kern w:val="0"/>
          <w:sz w:val="24"/>
          <w:szCs w:val="24"/>
        </w:rPr>
        <w:t>任何变更（按本协议</w:t>
      </w:r>
      <w:proofErr w:type="gramStart"/>
      <w:r w:rsidRPr="005206FD">
        <w:rPr>
          <w:rFonts w:asciiTheme="minorEastAsia" w:hAnsiTheme="minorEastAsia" w:cs="宋体" w:hint="eastAsia"/>
          <w:color w:val="000000"/>
          <w:kern w:val="0"/>
          <w:sz w:val="24"/>
          <w:szCs w:val="24"/>
        </w:rPr>
        <w:t>作出</w:t>
      </w:r>
      <w:proofErr w:type="gramEnd"/>
      <w:r w:rsidRPr="005206FD">
        <w:rPr>
          <w:rFonts w:asciiTheme="minorEastAsia" w:hAnsiTheme="minorEastAsia" w:cs="宋体" w:hint="eastAsia"/>
          <w:color w:val="000000"/>
          <w:kern w:val="0"/>
          <w:sz w:val="24"/>
          <w:szCs w:val="24"/>
        </w:rPr>
        <w:t>的修改除外）；</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(k)对董事或任何高级管理人员的提名条件或薪酬或津贴安排</w:t>
      </w:r>
      <w:proofErr w:type="gramStart"/>
      <w:r w:rsidRPr="005206FD">
        <w:rPr>
          <w:rFonts w:asciiTheme="minorEastAsia" w:hAnsiTheme="minorEastAsia" w:cs="宋体" w:hint="eastAsia"/>
          <w:color w:val="000000"/>
          <w:kern w:val="0"/>
          <w:sz w:val="24"/>
          <w:szCs w:val="24"/>
        </w:rPr>
        <w:t>作出</w:t>
      </w:r>
      <w:proofErr w:type="gramEnd"/>
      <w:r w:rsidRPr="005206FD">
        <w:rPr>
          <w:rFonts w:asciiTheme="minorEastAsia" w:hAnsiTheme="minorEastAsia" w:cs="宋体" w:hint="eastAsia"/>
          <w:color w:val="000000"/>
          <w:kern w:val="0"/>
          <w:sz w:val="24"/>
          <w:szCs w:val="24"/>
        </w:rPr>
        <w:t>重大改变；</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(l)实施任何新的或修改任何现行的雇员福利计划或方案（除非中国法律强制要求）；</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(m)与任何人士达成如下协议或安排：该协议或安排(i)不是在一般和惯常业务过程中达成的，或(ii)可能给公司造成重大不利变化；</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(n)与其关联方、公司现有股东或现有股东的任何一家关联方达成任何协议或安排。</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6、交割日</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交割日指在协议载明的交割先决条件全部满足或放弃后第十个工作日，或各方可能一致书面同意的其它日期。</w:t>
      </w:r>
    </w:p>
    <w:p w:rsidR="00A6691B" w:rsidRPr="005206FD" w:rsidRDefault="00084BE1">
      <w:pPr>
        <w:autoSpaceDE w:val="0"/>
        <w:autoSpaceDN w:val="0"/>
        <w:adjustRightInd w:val="0"/>
        <w:spacing w:line="500" w:lineRule="exact"/>
        <w:ind w:firstLineChars="200" w:firstLine="480"/>
        <w:jc w:val="left"/>
        <w:rPr>
          <w:rFonts w:asciiTheme="minorEastAsia" w:hAnsiTheme="minorEastAsia"/>
          <w:bCs/>
          <w:sz w:val="24"/>
          <w:szCs w:val="24"/>
        </w:rPr>
      </w:pPr>
      <w:r w:rsidRPr="005206FD">
        <w:rPr>
          <w:rFonts w:asciiTheme="minorEastAsia" w:hAnsiTheme="minorEastAsia" w:cs="宋体" w:hint="eastAsia"/>
          <w:color w:val="000000"/>
          <w:kern w:val="0"/>
          <w:sz w:val="24"/>
          <w:szCs w:val="24"/>
        </w:rPr>
        <w:t>7、</w:t>
      </w:r>
      <w:r w:rsidRPr="005206FD">
        <w:rPr>
          <w:rFonts w:asciiTheme="minorEastAsia" w:hAnsiTheme="minorEastAsia" w:hint="eastAsia"/>
          <w:bCs/>
          <w:sz w:val="24"/>
          <w:szCs w:val="24"/>
        </w:rPr>
        <w:t>合格公开发行及公司出售</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标的公司及实际控制人应尽最大努力促使标的公司不迟于2027年12月31日实现：</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w:t>
      </w:r>
      <w:r w:rsidRPr="005206FD">
        <w:rPr>
          <w:rFonts w:asciiTheme="minorEastAsia" w:hAnsiTheme="minorEastAsia" w:cs="宋体" w:hint="eastAsia"/>
          <w:color w:val="000000"/>
          <w:kern w:val="0"/>
          <w:sz w:val="24"/>
          <w:szCs w:val="24"/>
        </w:rPr>
        <w:tab/>
        <w:t>满足在中国上海证券交易所、深圳证券交易所、香港证券交易所或经投资方股东认可的其他证券交易所首次公开发行股票并上市的条件并在该等交易所公开发行并上市，且公司发行前估值不低于人民币贰拾亿元（</w:t>
      </w:r>
      <w:proofErr w:type="spellStart"/>
      <w:r w:rsidRPr="005206FD">
        <w:rPr>
          <w:rFonts w:asciiTheme="minorEastAsia" w:hAnsiTheme="minorEastAsia" w:cs="宋体" w:hint="eastAsia"/>
          <w:color w:val="000000"/>
          <w:kern w:val="0"/>
          <w:sz w:val="24"/>
          <w:szCs w:val="24"/>
        </w:rPr>
        <w:t>RMB</w:t>
      </w:r>
      <w:proofErr w:type="spellEnd"/>
      <w:r w:rsidRPr="005206FD">
        <w:rPr>
          <w:rFonts w:asciiTheme="minorEastAsia" w:hAnsiTheme="minorEastAsia" w:cs="宋体" w:hint="eastAsia"/>
          <w:color w:val="000000"/>
          <w:kern w:val="0"/>
          <w:sz w:val="24"/>
          <w:szCs w:val="24"/>
        </w:rPr>
        <w:t xml:space="preserve"> 2,000,000,000元）（“合格公开发行”）；或</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2.</w:t>
      </w:r>
      <w:r w:rsidRPr="005206FD">
        <w:rPr>
          <w:rFonts w:asciiTheme="minorEastAsia" w:hAnsiTheme="minorEastAsia" w:cs="宋体" w:hint="eastAsia"/>
          <w:color w:val="000000"/>
          <w:kern w:val="0"/>
          <w:sz w:val="24"/>
          <w:szCs w:val="24"/>
        </w:rPr>
        <w:tab/>
        <w:t>通过兼并、重组或合并、出售股权或其他交易使公司51%以上股权被上市公司以现金收购或以发行股份购买资产的方式收购，且公司于该等出售时的估值不低于人民币贰拾亿元（</w:t>
      </w:r>
      <w:proofErr w:type="spellStart"/>
      <w:r w:rsidRPr="005206FD">
        <w:rPr>
          <w:rFonts w:asciiTheme="minorEastAsia" w:hAnsiTheme="minorEastAsia" w:cs="宋体" w:hint="eastAsia"/>
          <w:color w:val="000000"/>
          <w:kern w:val="0"/>
          <w:sz w:val="24"/>
          <w:szCs w:val="24"/>
        </w:rPr>
        <w:t>RMB</w:t>
      </w:r>
      <w:proofErr w:type="spellEnd"/>
      <w:r w:rsidRPr="005206FD">
        <w:rPr>
          <w:rFonts w:asciiTheme="minorEastAsia" w:hAnsiTheme="minorEastAsia" w:cs="宋体" w:hint="eastAsia"/>
          <w:color w:val="000000"/>
          <w:kern w:val="0"/>
          <w:sz w:val="24"/>
          <w:szCs w:val="24"/>
        </w:rPr>
        <w:t xml:space="preserve"> 2,000,000,000元）（“合格公司出售”）。</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3.</w:t>
      </w:r>
      <w:r w:rsidRPr="005206FD">
        <w:rPr>
          <w:rFonts w:asciiTheme="minorEastAsia" w:hAnsiTheme="minorEastAsia" w:cs="宋体" w:hint="eastAsia"/>
          <w:color w:val="000000"/>
          <w:kern w:val="0"/>
          <w:sz w:val="24"/>
          <w:szCs w:val="24"/>
        </w:rPr>
        <w:tab/>
        <w:t>实际控制人及现有股东应尽最大努力配合外部顾问（包括但不限于保荐机构、律师事务所、审计机构等）实现标的公司合格公开发行或合格出售，并承诺根据外部顾问提供的意见对标的公司尚存的不规范事项进行整改，以确保标的公司满足法律、法规、中国证监会、证券交易所的相关要求。</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8、回购权</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w:t>
      </w:r>
      <w:r w:rsidRPr="005206FD">
        <w:rPr>
          <w:rFonts w:asciiTheme="minorEastAsia" w:hAnsiTheme="minorEastAsia" w:cs="宋体" w:hint="eastAsia"/>
          <w:color w:val="000000"/>
          <w:kern w:val="0"/>
          <w:sz w:val="24"/>
          <w:szCs w:val="24"/>
        </w:rPr>
        <w:tab/>
        <w:t>投资方股东按照本条所约定的条件享有回购权，本条所约定的内容构成投资方股东与标的公司、现有股东、实际控制人的约定，除本条的约定外，标的公司股东之间、公司股东与公司之间、创始股东与控股股东、实际控制人之间的其他回购权相关约定终止并失效。</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2.</w:t>
      </w:r>
      <w:r w:rsidRPr="005206FD">
        <w:rPr>
          <w:rFonts w:asciiTheme="minorEastAsia" w:hAnsiTheme="minorEastAsia" w:cs="宋体" w:hint="eastAsia"/>
          <w:color w:val="000000"/>
          <w:kern w:val="0"/>
          <w:sz w:val="24"/>
          <w:szCs w:val="24"/>
        </w:rPr>
        <w:tab/>
        <w:t>投资方回购条款</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 xml:space="preserve">（一）交割日后，如发生回购事项的，则投资方有权要求标的公司实际控制人购买其截至交割日所持有的全部或部分股权（“回购权”），购买价款应为按照以下方式计算的金额较高者（“回购金额”）：（a）回购金额 = [（投资人截至交割日已向公司投入的投资金额 × （1+利率* </w:t>
      </w:r>
      <w:proofErr w:type="spellStart"/>
      <w:r w:rsidRPr="005206FD">
        <w:rPr>
          <w:rFonts w:asciiTheme="minorEastAsia" w:hAnsiTheme="minorEastAsia" w:cs="宋体" w:hint="eastAsia"/>
          <w:color w:val="000000"/>
          <w:kern w:val="0"/>
          <w:sz w:val="24"/>
          <w:szCs w:val="24"/>
        </w:rPr>
        <w:t>N1</w:t>
      </w:r>
      <w:proofErr w:type="spellEnd"/>
      <w:r w:rsidRPr="005206FD">
        <w:rPr>
          <w:rFonts w:asciiTheme="minorEastAsia" w:hAnsiTheme="minorEastAsia" w:cs="宋体" w:hint="eastAsia"/>
          <w:color w:val="000000"/>
          <w:kern w:val="0"/>
          <w:sz w:val="24"/>
          <w:szCs w:val="24"/>
        </w:rPr>
        <w:t>）-</w:t>
      </w:r>
      <w:proofErr w:type="spellStart"/>
      <w:r w:rsidRPr="005206FD">
        <w:rPr>
          <w:rFonts w:asciiTheme="minorEastAsia" w:hAnsiTheme="minorEastAsia" w:cs="宋体" w:hint="eastAsia"/>
          <w:color w:val="000000"/>
          <w:kern w:val="0"/>
          <w:sz w:val="24"/>
          <w:szCs w:val="24"/>
        </w:rPr>
        <w:t>N2</w:t>
      </w:r>
      <w:proofErr w:type="spellEnd"/>
      <w:r w:rsidRPr="005206FD">
        <w:rPr>
          <w:rFonts w:asciiTheme="minorEastAsia" w:hAnsiTheme="minorEastAsia" w:cs="宋体" w:hint="eastAsia"/>
          <w:color w:val="000000"/>
          <w:kern w:val="0"/>
          <w:sz w:val="24"/>
          <w:szCs w:val="24"/>
        </w:rPr>
        <w:t xml:space="preserve">- </w:t>
      </w:r>
      <w:proofErr w:type="spellStart"/>
      <w:r w:rsidRPr="005206FD">
        <w:rPr>
          <w:rFonts w:asciiTheme="minorEastAsia" w:hAnsiTheme="minorEastAsia" w:cs="宋体" w:hint="eastAsia"/>
          <w:color w:val="000000"/>
          <w:kern w:val="0"/>
          <w:sz w:val="24"/>
          <w:szCs w:val="24"/>
        </w:rPr>
        <w:t>N3</w:t>
      </w:r>
      <w:proofErr w:type="spellEnd"/>
      <w:r w:rsidRPr="005206FD">
        <w:rPr>
          <w:rFonts w:asciiTheme="minorEastAsia" w:hAnsiTheme="minorEastAsia" w:cs="宋体" w:hint="eastAsia"/>
          <w:color w:val="000000"/>
          <w:kern w:val="0"/>
          <w:sz w:val="24"/>
          <w:szCs w:val="24"/>
        </w:rPr>
        <w:t>。其中，</w:t>
      </w:r>
      <w:proofErr w:type="spellStart"/>
      <w:r w:rsidRPr="005206FD">
        <w:rPr>
          <w:rFonts w:asciiTheme="minorEastAsia" w:hAnsiTheme="minorEastAsia" w:cs="宋体" w:hint="eastAsia"/>
          <w:color w:val="000000"/>
          <w:kern w:val="0"/>
          <w:sz w:val="24"/>
          <w:szCs w:val="24"/>
        </w:rPr>
        <w:t>N1</w:t>
      </w:r>
      <w:proofErr w:type="spellEnd"/>
      <w:r w:rsidRPr="005206FD">
        <w:rPr>
          <w:rFonts w:asciiTheme="minorEastAsia" w:hAnsiTheme="minorEastAsia" w:cs="宋体" w:hint="eastAsia"/>
          <w:color w:val="000000"/>
          <w:kern w:val="0"/>
          <w:sz w:val="24"/>
          <w:szCs w:val="24"/>
        </w:rPr>
        <w:t>等于交割日至投资人收到全部回购金额之</w:t>
      </w:r>
      <w:proofErr w:type="gramStart"/>
      <w:r w:rsidRPr="005206FD">
        <w:rPr>
          <w:rFonts w:asciiTheme="minorEastAsia" w:hAnsiTheme="minorEastAsia" w:cs="宋体" w:hint="eastAsia"/>
          <w:color w:val="000000"/>
          <w:kern w:val="0"/>
          <w:sz w:val="24"/>
          <w:szCs w:val="24"/>
        </w:rPr>
        <w:t>日经过</w:t>
      </w:r>
      <w:proofErr w:type="gramEnd"/>
      <w:r w:rsidRPr="005206FD">
        <w:rPr>
          <w:rFonts w:asciiTheme="minorEastAsia" w:hAnsiTheme="minorEastAsia" w:cs="宋体" w:hint="eastAsia"/>
          <w:color w:val="000000"/>
          <w:kern w:val="0"/>
          <w:sz w:val="24"/>
          <w:szCs w:val="24"/>
        </w:rPr>
        <w:t>的天数除以365；</w:t>
      </w:r>
      <w:proofErr w:type="spellStart"/>
      <w:r w:rsidRPr="005206FD">
        <w:rPr>
          <w:rFonts w:asciiTheme="minorEastAsia" w:hAnsiTheme="minorEastAsia" w:cs="宋体" w:hint="eastAsia"/>
          <w:color w:val="000000"/>
          <w:kern w:val="0"/>
          <w:sz w:val="24"/>
          <w:szCs w:val="24"/>
        </w:rPr>
        <w:t>N2</w:t>
      </w:r>
      <w:proofErr w:type="spellEnd"/>
      <w:r w:rsidRPr="005206FD">
        <w:rPr>
          <w:rFonts w:asciiTheme="minorEastAsia" w:hAnsiTheme="minorEastAsia" w:cs="宋体" w:hint="eastAsia"/>
          <w:color w:val="000000"/>
          <w:kern w:val="0"/>
          <w:sz w:val="24"/>
          <w:szCs w:val="24"/>
        </w:rPr>
        <w:t>等于投资方收到全部公司分红；</w:t>
      </w:r>
      <w:proofErr w:type="spellStart"/>
      <w:r w:rsidRPr="005206FD">
        <w:rPr>
          <w:rFonts w:asciiTheme="minorEastAsia" w:hAnsiTheme="minorEastAsia" w:cs="宋体" w:hint="eastAsia"/>
          <w:color w:val="000000"/>
          <w:kern w:val="0"/>
          <w:sz w:val="24"/>
          <w:szCs w:val="24"/>
        </w:rPr>
        <w:t>N3</w:t>
      </w:r>
      <w:proofErr w:type="spellEnd"/>
      <w:r w:rsidRPr="005206FD">
        <w:rPr>
          <w:rFonts w:asciiTheme="minorEastAsia" w:hAnsiTheme="minorEastAsia" w:cs="宋体" w:hint="eastAsia"/>
          <w:color w:val="000000"/>
          <w:kern w:val="0"/>
          <w:sz w:val="24"/>
          <w:szCs w:val="24"/>
        </w:rPr>
        <w:t>等于投资方以各种形式转让股权所收回的资金。（b）投资人所持有股权所对应的公司经审计的净资产值。</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本息支付方式：到期退出时，回购方可分四年支付本息，具体为每年12月20日前支付一次，每次偿还本金不低于25%，每次支付利随本清；若有任何一期不按时支付，剩余未付部分本息，投资方有权要求回购方一次性支付，并从逾期支付之日起按照12%/年利率计算逾期利息。</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利率计算方式：投资期限在5年以上6年以内（含6年）的，按不低于退出当年5年期中国人民银行贷款基准利率；</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投资期限在6年以上7年以内（含7年）的，按不低于退出当年的5年期中国人民银行贷款基准利率+1%；</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其中，投资期限是指出资主体首次出资之日起至退出之日的期间。</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如标的公司实际控制人未能在约定时间内办理相关手续及支付回购款，每逾期一日，投资人方有权向实际控制人对未支付部分按年化百分之十二收取违约金，至全部价款付清之日止。</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（二）</w:t>
      </w:r>
      <w:r w:rsidRPr="005206FD">
        <w:rPr>
          <w:rFonts w:asciiTheme="minorEastAsia" w:hAnsiTheme="minorEastAsia" w:cs="宋体" w:hint="eastAsia"/>
          <w:color w:val="000000"/>
          <w:kern w:val="0"/>
          <w:sz w:val="24"/>
          <w:szCs w:val="24"/>
        </w:rPr>
        <w:tab/>
        <w:t>回购事项包括：</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在2027年12月31日之前，标的公司未能实现合格公开发行且未能实现合格公司出售；或者标的公司或实际控制人明确表示放弃合格公开发行或合格公司出售；或者标的公司合格公开发行且合格公司出售存在实质障碍的；若2027年12月31日标的公司前虽未上市，但已向有关部门提报申请材料并被受理，或者向投资方认可的交易所提报首发上市的申请材料并被正式受理，可以延期，若延期至2029年12月31日前仍不能上市，投资方有权要</w:t>
      </w:r>
      <w:proofErr w:type="gramStart"/>
      <w:r w:rsidRPr="005206FD">
        <w:rPr>
          <w:rFonts w:asciiTheme="minorEastAsia" w:hAnsiTheme="minorEastAsia" w:cs="宋体" w:hint="eastAsia"/>
          <w:color w:val="000000"/>
          <w:kern w:val="0"/>
          <w:sz w:val="24"/>
          <w:szCs w:val="24"/>
        </w:rPr>
        <w:t>求实控人回购</w:t>
      </w:r>
      <w:proofErr w:type="gramEnd"/>
      <w:r w:rsidRPr="005206FD">
        <w:rPr>
          <w:rFonts w:asciiTheme="minorEastAsia" w:hAnsiTheme="minorEastAsia" w:cs="宋体" w:hint="eastAsia"/>
          <w:color w:val="000000"/>
          <w:kern w:val="0"/>
          <w:sz w:val="24"/>
          <w:szCs w:val="24"/>
        </w:rPr>
        <w:t>其持有全部或者部分标的公司股权。</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 xml:space="preserve"> (2) 标的公司出现严重违反法律、法规的规定，影响公司正常经营，或导致公司被吊销营业执照、被主管机关责令停业或进入破产程序；</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 xml:space="preserve"> (3) 标的公司主营业务发生实质变更，且未获得投资人同意；</w:t>
      </w:r>
    </w:p>
    <w:p w:rsidR="00A6691B" w:rsidRPr="005206FD" w:rsidRDefault="00084BE1">
      <w:pPr>
        <w:autoSpaceDE w:val="0"/>
        <w:autoSpaceDN w:val="0"/>
        <w:adjustRightInd w:val="0"/>
        <w:spacing w:line="500" w:lineRule="exact"/>
        <w:ind w:firstLineChars="250" w:firstLine="60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(4) 标的公司或实际控制人出现侵占、挪用、转移公司资产等重大违法及行为的；</w:t>
      </w:r>
    </w:p>
    <w:p w:rsidR="00A6691B" w:rsidRPr="005206FD" w:rsidRDefault="005206FD">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 xml:space="preserve"> (5)</w:t>
      </w:r>
      <w:r w:rsidR="00084BE1" w:rsidRPr="005206FD">
        <w:rPr>
          <w:rFonts w:asciiTheme="minorEastAsia" w:hAnsiTheme="minorEastAsia" w:cs="宋体" w:hint="eastAsia"/>
          <w:color w:val="000000"/>
          <w:kern w:val="0"/>
          <w:sz w:val="24"/>
          <w:szCs w:val="24"/>
        </w:rPr>
        <w:t>除投资人同意的合格公司出售外，任何原因导致实际控制人失去公司控股权/控制权的；</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 xml:space="preserve"> (6) 标的公司的核心知识产权出现侵犯第三方权利而严重影响公司持续经营的；</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 xml:space="preserve"> (7) 创始股东、实际控制人违反本协议关于创始股东、实际控制人的不竞争及全面投入公司义务；</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三）实际控制人应在收到投资人要求行使回购权的通知之日起三十（30）日内向投资人支付全部回购金额。如存在多名股东行使了要求实际控制人购买其所持公司股权的权利，则实际控制人在向其他股东支付任何股权购买价款之前，应优先全额向投资人支付回购金额。</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9、费用和支出</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1.标的公司应当承担与本次交易有关的报批、验资、工商变更所涉及的全部相关费用。</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2.本次交易中，股权投资所形成的税费，由交易双方按照法律法规的规定各自承担。</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3.除上述情形外，投资方和标的公司及本次交易涉及的各方将各自承担与本次交易相关的费用与税收。根据税务机关征缴税款实际操作的程序要求，如本次交易涉及税费需要由公司代扣代缴的，则由公司代扣代缴后，由纳税义务人向公司支付税款。</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10、生效</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本协议自协议各方签署后生效。</w:t>
      </w:r>
    </w:p>
    <w:p w:rsidR="00A6691B" w:rsidRPr="005206FD" w:rsidRDefault="00084BE1">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5206FD">
        <w:rPr>
          <w:rFonts w:asciiTheme="minorEastAsia" w:hAnsiTheme="minorEastAsia" w:cs="宋体" w:hint="eastAsia"/>
          <w:b/>
          <w:color w:val="000000"/>
          <w:kern w:val="0"/>
          <w:sz w:val="24"/>
          <w:szCs w:val="24"/>
        </w:rPr>
        <w:t>四、本次交易目的</w:t>
      </w: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标的公司本次增资旨在进一步引进投资人，推动标的公司快速发展。本交易完成后，公司持有</w:t>
      </w:r>
      <w:r w:rsidR="005206FD" w:rsidRPr="005206FD">
        <w:rPr>
          <w:rFonts w:asciiTheme="minorEastAsia" w:hAnsiTheme="minorEastAsia" w:cs="宋体" w:hint="eastAsia"/>
          <w:color w:val="000000"/>
          <w:kern w:val="0"/>
          <w:sz w:val="24"/>
          <w:szCs w:val="24"/>
        </w:rPr>
        <w:t>标的公司</w:t>
      </w:r>
      <w:r w:rsidRPr="005206FD">
        <w:rPr>
          <w:rFonts w:asciiTheme="minorEastAsia" w:hAnsiTheme="minorEastAsia" w:cs="宋体" w:hint="eastAsia"/>
          <w:color w:val="000000"/>
          <w:kern w:val="0"/>
          <w:sz w:val="24"/>
          <w:szCs w:val="24"/>
        </w:rPr>
        <w:t>股份比例由64.95%下降至50.94%，</w:t>
      </w:r>
      <w:proofErr w:type="gramStart"/>
      <w:r w:rsidRPr="005206FD">
        <w:rPr>
          <w:rFonts w:asciiTheme="minorEastAsia" w:hAnsiTheme="minorEastAsia" w:cs="宋体" w:hint="eastAsia"/>
          <w:color w:val="000000"/>
          <w:kern w:val="0"/>
          <w:sz w:val="24"/>
          <w:szCs w:val="24"/>
        </w:rPr>
        <w:t>鲲</w:t>
      </w:r>
      <w:proofErr w:type="gramEnd"/>
      <w:r w:rsidRPr="005206FD">
        <w:rPr>
          <w:rFonts w:asciiTheme="minorEastAsia" w:hAnsiTheme="minorEastAsia" w:cs="宋体" w:hint="eastAsia"/>
          <w:color w:val="000000"/>
          <w:kern w:val="0"/>
          <w:sz w:val="24"/>
          <w:szCs w:val="24"/>
        </w:rPr>
        <w:t>驰互联仍为公司控股子公司。不会导致合并报表范围发生变化，不会对公司财务及经营状况产生重大影响。</w:t>
      </w:r>
    </w:p>
    <w:p w:rsidR="00A6691B" w:rsidRPr="005206FD" w:rsidRDefault="00084BE1">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5206FD">
        <w:rPr>
          <w:rFonts w:asciiTheme="minorEastAsia" w:hAnsiTheme="minorEastAsia" w:cs="宋体" w:hint="eastAsia"/>
          <w:b/>
          <w:color w:val="000000"/>
          <w:kern w:val="0"/>
          <w:sz w:val="24"/>
          <w:szCs w:val="24"/>
        </w:rPr>
        <w:t>五、其他</w:t>
      </w:r>
    </w:p>
    <w:p w:rsidR="00A6691B" w:rsidRPr="005206FD" w:rsidRDefault="00084BE1">
      <w:pPr>
        <w:pStyle w:val="Default"/>
        <w:spacing w:line="500" w:lineRule="exact"/>
        <w:ind w:firstLineChars="200" w:firstLine="480"/>
        <w:rPr>
          <w:rFonts w:asciiTheme="minorEastAsia" w:eastAsiaTheme="minorEastAsia" w:hAnsiTheme="minorEastAsia"/>
        </w:rPr>
      </w:pPr>
      <w:r w:rsidRPr="005206FD">
        <w:rPr>
          <w:rFonts w:asciiTheme="minorEastAsia" w:eastAsiaTheme="minorEastAsia" w:hAnsiTheme="minorEastAsia" w:hint="eastAsia"/>
        </w:rPr>
        <w:t>本次交易投资方为国有资本，</w:t>
      </w:r>
      <w:r w:rsidR="005206FD" w:rsidRPr="005206FD">
        <w:rPr>
          <w:rFonts w:asciiTheme="minorEastAsia" w:eastAsiaTheme="minorEastAsia" w:hAnsiTheme="minorEastAsia" w:hint="eastAsia"/>
        </w:rPr>
        <w:t>截至本公告披露日，交易</w:t>
      </w:r>
      <w:r w:rsidRPr="005206FD">
        <w:rPr>
          <w:rFonts w:asciiTheme="minorEastAsia" w:eastAsiaTheme="minorEastAsia" w:hAnsiTheme="minorEastAsia" w:hint="eastAsia"/>
        </w:rPr>
        <w:t>已取得国有资本审批手续。本次交</w:t>
      </w:r>
      <w:r w:rsidR="005206FD" w:rsidRPr="005206FD">
        <w:rPr>
          <w:rFonts w:asciiTheme="minorEastAsia" w:eastAsiaTheme="minorEastAsia" w:hAnsiTheme="minorEastAsia" w:hint="eastAsia"/>
        </w:rPr>
        <w:t>易尚需提交至公司股东大会审议。本次交易设置交割</w:t>
      </w:r>
      <w:proofErr w:type="gramStart"/>
      <w:r w:rsidR="005206FD" w:rsidRPr="005206FD">
        <w:rPr>
          <w:rFonts w:asciiTheme="minorEastAsia" w:eastAsiaTheme="minorEastAsia" w:hAnsiTheme="minorEastAsia" w:hint="eastAsia"/>
        </w:rPr>
        <w:t>前义务</w:t>
      </w:r>
      <w:proofErr w:type="gramEnd"/>
      <w:r w:rsidR="005206FD" w:rsidRPr="005206FD">
        <w:rPr>
          <w:rFonts w:asciiTheme="minorEastAsia" w:eastAsiaTheme="minorEastAsia" w:hAnsiTheme="minorEastAsia" w:hint="eastAsia"/>
        </w:rPr>
        <w:t>及过渡期安排</w:t>
      </w:r>
      <w:r w:rsidRPr="005206FD">
        <w:rPr>
          <w:rFonts w:asciiTheme="minorEastAsia" w:eastAsiaTheme="minorEastAsia" w:hAnsiTheme="minorEastAsia" w:hint="eastAsia"/>
        </w:rPr>
        <w:t>，最终能否完成增资存在不确定性。请广大投资者注意投资风险。</w:t>
      </w:r>
    </w:p>
    <w:p w:rsidR="00A6691B" w:rsidRPr="005206FD" w:rsidRDefault="00A6691B">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p>
    <w:p w:rsidR="00A6691B" w:rsidRPr="005206FD" w:rsidRDefault="00084BE1">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特此公告。</w:t>
      </w:r>
      <w:r w:rsidRPr="005206FD">
        <w:rPr>
          <w:rFonts w:asciiTheme="minorEastAsia" w:hAnsiTheme="minorEastAsia" w:cs="宋体"/>
          <w:color w:val="000000"/>
          <w:kern w:val="0"/>
          <w:sz w:val="24"/>
          <w:szCs w:val="24"/>
        </w:rPr>
        <w:t xml:space="preserve"> </w:t>
      </w:r>
    </w:p>
    <w:p w:rsidR="00A6691B" w:rsidRPr="005206FD" w:rsidRDefault="00084BE1">
      <w:pPr>
        <w:autoSpaceDE w:val="0"/>
        <w:autoSpaceDN w:val="0"/>
        <w:adjustRightInd w:val="0"/>
        <w:spacing w:line="500" w:lineRule="exact"/>
        <w:jc w:val="righ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华孚时尚股份有限公司董事会</w:t>
      </w:r>
      <w:r w:rsidRPr="005206FD">
        <w:rPr>
          <w:rFonts w:asciiTheme="minorEastAsia" w:hAnsiTheme="minorEastAsia" w:cs="宋体"/>
          <w:color w:val="000000"/>
          <w:kern w:val="0"/>
          <w:sz w:val="24"/>
          <w:szCs w:val="24"/>
        </w:rPr>
        <w:t xml:space="preserve"> </w:t>
      </w:r>
    </w:p>
    <w:p w:rsidR="00A6691B" w:rsidRDefault="00084BE1">
      <w:pPr>
        <w:wordWrap w:val="0"/>
        <w:spacing w:line="500" w:lineRule="exact"/>
        <w:ind w:firstLineChars="200" w:firstLine="480"/>
        <w:jc w:val="right"/>
        <w:rPr>
          <w:rFonts w:asciiTheme="minorEastAsia" w:hAnsiTheme="minorEastAsia" w:cs="宋体"/>
          <w:color w:val="000000"/>
          <w:kern w:val="0"/>
          <w:sz w:val="24"/>
          <w:szCs w:val="24"/>
        </w:rPr>
      </w:pPr>
      <w:r w:rsidRPr="005206FD">
        <w:rPr>
          <w:rFonts w:asciiTheme="minorEastAsia" w:hAnsiTheme="minorEastAsia" w:cs="宋体" w:hint="eastAsia"/>
          <w:color w:val="000000"/>
          <w:kern w:val="0"/>
          <w:sz w:val="24"/>
          <w:szCs w:val="24"/>
        </w:rPr>
        <w:t>二〇二二年十一月二十二日</w:t>
      </w:r>
    </w:p>
    <w:p w:rsidR="00A6691B" w:rsidRDefault="00A6691B">
      <w:pPr>
        <w:rPr>
          <w:rFonts w:asciiTheme="minorEastAsia" w:hAnsiTheme="minorEastAsia"/>
        </w:rPr>
      </w:pPr>
    </w:p>
    <w:sectPr w:rsidR="00A669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76" w:rsidRDefault="00923A76" w:rsidP="00CC2A09">
      <w:r>
        <w:separator/>
      </w:r>
    </w:p>
  </w:endnote>
  <w:endnote w:type="continuationSeparator" w:id="0">
    <w:p w:rsidR="00923A76" w:rsidRDefault="00923A76" w:rsidP="00CC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76" w:rsidRDefault="00923A76" w:rsidP="00CC2A09">
      <w:r>
        <w:separator/>
      </w:r>
    </w:p>
  </w:footnote>
  <w:footnote w:type="continuationSeparator" w:id="0">
    <w:p w:rsidR="00923A76" w:rsidRDefault="00923A76" w:rsidP="00CC2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84BE1"/>
    <w:rsid w:val="0009506C"/>
    <w:rsid w:val="000B3CA0"/>
    <w:rsid w:val="000B4E50"/>
    <w:rsid w:val="001A66CD"/>
    <w:rsid w:val="00257700"/>
    <w:rsid w:val="00262AEC"/>
    <w:rsid w:val="00284D66"/>
    <w:rsid w:val="002B1B16"/>
    <w:rsid w:val="002D04DA"/>
    <w:rsid w:val="00331C1E"/>
    <w:rsid w:val="00336C32"/>
    <w:rsid w:val="00400B31"/>
    <w:rsid w:val="00450981"/>
    <w:rsid w:val="004960D4"/>
    <w:rsid w:val="005206FD"/>
    <w:rsid w:val="00564AB6"/>
    <w:rsid w:val="005854E9"/>
    <w:rsid w:val="005D655D"/>
    <w:rsid w:val="005F29C6"/>
    <w:rsid w:val="006078F3"/>
    <w:rsid w:val="006446D3"/>
    <w:rsid w:val="0065052A"/>
    <w:rsid w:val="006549B9"/>
    <w:rsid w:val="007218EF"/>
    <w:rsid w:val="007D0A3C"/>
    <w:rsid w:val="007D69B8"/>
    <w:rsid w:val="007E4192"/>
    <w:rsid w:val="00833835"/>
    <w:rsid w:val="0084512B"/>
    <w:rsid w:val="008635C1"/>
    <w:rsid w:val="00872EEA"/>
    <w:rsid w:val="00897513"/>
    <w:rsid w:val="008C0332"/>
    <w:rsid w:val="008D74F0"/>
    <w:rsid w:val="009037AF"/>
    <w:rsid w:val="00923A76"/>
    <w:rsid w:val="00935A25"/>
    <w:rsid w:val="00986D8D"/>
    <w:rsid w:val="009D37D9"/>
    <w:rsid w:val="009E17B0"/>
    <w:rsid w:val="00A6691B"/>
    <w:rsid w:val="00B44C94"/>
    <w:rsid w:val="00BA0748"/>
    <w:rsid w:val="00BA6369"/>
    <w:rsid w:val="00BF5C14"/>
    <w:rsid w:val="00C4255E"/>
    <w:rsid w:val="00C6438F"/>
    <w:rsid w:val="00C75303"/>
    <w:rsid w:val="00CA559B"/>
    <w:rsid w:val="00CC2A09"/>
    <w:rsid w:val="00CC752E"/>
    <w:rsid w:val="00CF5C00"/>
    <w:rsid w:val="00D5514E"/>
    <w:rsid w:val="00D84818"/>
    <w:rsid w:val="00DB55B9"/>
    <w:rsid w:val="00DB6CEB"/>
    <w:rsid w:val="00DF3D7B"/>
    <w:rsid w:val="00E21963"/>
    <w:rsid w:val="00E442C9"/>
    <w:rsid w:val="00ED4872"/>
    <w:rsid w:val="00F83D84"/>
    <w:rsid w:val="0BD031BB"/>
    <w:rsid w:val="1DE10BE7"/>
    <w:rsid w:val="2E7079CB"/>
    <w:rsid w:val="4E370B1C"/>
    <w:rsid w:val="4E5F0BA2"/>
    <w:rsid w:val="52456096"/>
    <w:rsid w:val="573C7AF8"/>
    <w:rsid w:val="719C7DB7"/>
    <w:rsid w:val="72B035E5"/>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styleId="a9">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zFSDraft">
    <w:name w:val="zFSDraft"/>
    <w:basedOn w:val="a"/>
    <w:qFormat/>
    <w:pPr>
      <w:widowControl/>
      <w:spacing w:line="288" w:lineRule="auto"/>
      <w:jc w:val="left"/>
    </w:pPr>
    <w:rPr>
      <w:rFonts w:ascii="Arial" w:eastAsia="宋体" w:hAnsi="Arial" w:cs="Times New Roman"/>
      <w:kern w:val="20"/>
      <w:sz w:val="20"/>
      <w:szCs w:val="24"/>
      <w:lang w:eastAsia="en-US"/>
    </w:rPr>
  </w:style>
  <w:style w:type="character" w:customStyle="1" w:styleId="Char">
    <w:name w:val="批注框文本 Char"/>
    <w:basedOn w:val="a0"/>
    <w:link w:val="a4"/>
    <w:uiPriority w:val="99"/>
    <w:semiHidden/>
    <w:qFormat/>
    <w:rPr>
      <w:kern w:val="2"/>
      <w:sz w:val="18"/>
      <w:szCs w:val="18"/>
    </w:rPr>
  </w:style>
  <w:style w:type="paragraph" w:customStyle="1" w:styleId="1">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styleId="a9">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zFSDraft">
    <w:name w:val="zFSDraft"/>
    <w:basedOn w:val="a"/>
    <w:qFormat/>
    <w:pPr>
      <w:widowControl/>
      <w:spacing w:line="288" w:lineRule="auto"/>
      <w:jc w:val="left"/>
    </w:pPr>
    <w:rPr>
      <w:rFonts w:ascii="Arial" w:eastAsia="宋体" w:hAnsi="Arial" w:cs="Times New Roman"/>
      <w:kern w:val="20"/>
      <w:sz w:val="20"/>
      <w:szCs w:val="24"/>
      <w:lang w:eastAsia="en-US"/>
    </w:rPr>
  </w:style>
  <w:style w:type="character" w:customStyle="1" w:styleId="Char">
    <w:name w:val="批注框文本 Char"/>
    <w:basedOn w:val="a0"/>
    <w:link w:val="a4"/>
    <w:uiPriority w:val="99"/>
    <w:semiHidden/>
    <w:qFormat/>
    <w:rPr>
      <w:kern w:val="2"/>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1125</Words>
  <Characters>6413</Characters>
  <Application>Microsoft Office Word</Application>
  <DocSecurity>0</DocSecurity>
  <Lines>53</Lines>
  <Paragraphs>15</Paragraphs>
  <ScaleCrop>false</ScaleCrop>
  <Company>微软公司</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孙献</cp:lastModifiedBy>
  <cp:revision>4</cp:revision>
  <cp:lastPrinted>2018-12-03T03:00:00Z</cp:lastPrinted>
  <dcterms:created xsi:type="dcterms:W3CDTF">2022-11-21T07:01:00Z</dcterms:created>
  <dcterms:modified xsi:type="dcterms:W3CDTF">2022-11-21T08:55:00Z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5D2804C3FE6F4129BF8BEB04A35D8F1F</vt:lpwstr>
  </property>
</Properties>
</file>