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53" w:rsidRPr="00637F7C" w:rsidRDefault="00411497">
      <w:pPr>
        <w:wordWrap w:val="0"/>
        <w:spacing w:line="440" w:lineRule="exact"/>
        <w:jc w:val="center"/>
        <w:rPr>
          <w:rFonts w:ascii="黑体" w:eastAsia="黑体" w:hAnsi="黑体"/>
          <w:bCs/>
          <w:kern w:val="0"/>
          <w:szCs w:val="21"/>
        </w:rPr>
      </w:pPr>
      <w:r w:rsidRPr="00637F7C">
        <w:rPr>
          <w:rFonts w:ascii="黑体" w:eastAsia="黑体" w:hAnsi="黑体"/>
          <w:bCs/>
          <w:kern w:val="0"/>
          <w:szCs w:val="21"/>
        </w:rPr>
        <w:t xml:space="preserve">证券代码：002042 </w:t>
      </w:r>
      <w:r w:rsidRPr="00637F7C">
        <w:rPr>
          <w:rFonts w:ascii="黑体" w:eastAsia="黑体" w:hAnsi="黑体" w:hint="eastAsia"/>
          <w:bCs/>
          <w:kern w:val="0"/>
          <w:szCs w:val="21"/>
        </w:rPr>
        <w:t xml:space="preserve">       </w:t>
      </w:r>
      <w:r w:rsidRPr="00637F7C">
        <w:rPr>
          <w:rFonts w:ascii="黑体" w:eastAsia="黑体" w:hAnsi="黑体"/>
          <w:bCs/>
          <w:kern w:val="0"/>
          <w:szCs w:val="21"/>
        </w:rPr>
        <w:t xml:space="preserve">       证券简称：华孚时尚   </w:t>
      </w:r>
      <w:r w:rsidRPr="00637F7C">
        <w:rPr>
          <w:rFonts w:ascii="黑体" w:eastAsia="黑体" w:hAnsi="黑体" w:hint="eastAsia"/>
          <w:bCs/>
          <w:kern w:val="0"/>
          <w:szCs w:val="21"/>
        </w:rPr>
        <w:t xml:space="preserve">       </w:t>
      </w:r>
      <w:r w:rsidRPr="00637F7C">
        <w:rPr>
          <w:rFonts w:ascii="黑体" w:eastAsia="黑体" w:hAnsi="黑体"/>
          <w:bCs/>
          <w:kern w:val="0"/>
          <w:szCs w:val="21"/>
        </w:rPr>
        <w:t xml:space="preserve">   公告编号：</w:t>
      </w:r>
      <w:r w:rsidRPr="00637F7C">
        <w:rPr>
          <w:rFonts w:ascii="黑体" w:eastAsia="黑体" w:hAnsi="黑体" w:hint="eastAsia"/>
          <w:bCs/>
          <w:kern w:val="0"/>
          <w:szCs w:val="21"/>
        </w:rPr>
        <w:t>2022-40</w:t>
      </w:r>
    </w:p>
    <w:p w:rsidR="00073353" w:rsidRPr="00637F7C" w:rsidRDefault="00073353">
      <w:pPr>
        <w:snapToGrid w:val="0"/>
        <w:spacing w:line="360" w:lineRule="auto"/>
        <w:jc w:val="center"/>
        <w:rPr>
          <w:rFonts w:ascii="宋体" w:hAnsi="宋体" w:cs="宋体"/>
          <w:b/>
          <w:kern w:val="0"/>
          <w:sz w:val="30"/>
          <w:szCs w:val="30"/>
        </w:rPr>
      </w:pPr>
    </w:p>
    <w:p w:rsidR="00073353" w:rsidRPr="00637F7C" w:rsidRDefault="00411497">
      <w:pPr>
        <w:snapToGrid w:val="0"/>
        <w:spacing w:line="360" w:lineRule="auto"/>
        <w:jc w:val="center"/>
        <w:rPr>
          <w:b/>
          <w:kern w:val="0"/>
          <w:sz w:val="36"/>
          <w:szCs w:val="36"/>
        </w:rPr>
      </w:pPr>
      <w:r w:rsidRPr="00637F7C">
        <w:rPr>
          <w:rFonts w:hint="eastAsia"/>
          <w:b/>
          <w:kern w:val="0"/>
          <w:sz w:val="36"/>
          <w:szCs w:val="36"/>
        </w:rPr>
        <w:t>华孚时尚股份有限公司</w:t>
      </w:r>
    </w:p>
    <w:p w:rsidR="00073353" w:rsidRPr="00637F7C" w:rsidRDefault="00411497">
      <w:pPr>
        <w:snapToGrid w:val="0"/>
        <w:spacing w:line="360" w:lineRule="auto"/>
        <w:jc w:val="center"/>
        <w:rPr>
          <w:b/>
          <w:kern w:val="0"/>
          <w:sz w:val="36"/>
          <w:szCs w:val="36"/>
        </w:rPr>
      </w:pPr>
      <w:r w:rsidRPr="00637F7C">
        <w:rPr>
          <w:rFonts w:hint="eastAsia"/>
          <w:b/>
          <w:kern w:val="0"/>
          <w:sz w:val="36"/>
          <w:szCs w:val="36"/>
        </w:rPr>
        <w:t>20</w:t>
      </w:r>
      <w:r w:rsidRPr="00637F7C">
        <w:rPr>
          <w:b/>
          <w:kern w:val="0"/>
          <w:sz w:val="36"/>
          <w:szCs w:val="36"/>
        </w:rPr>
        <w:t>2</w:t>
      </w:r>
      <w:r w:rsidRPr="00637F7C">
        <w:rPr>
          <w:rFonts w:hint="eastAsia"/>
          <w:b/>
          <w:kern w:val="0"/>
          <w:sz w:val="36"/>
          <w:szCs w:val="36"/>
        </w:rPr>
        <w:t>2</w:t>
      </w:r>
      <w:r w:rsidRPr="00637F7C">
        <w:rPr>
          <w:rFonts w:hint="eastAsia"/>
          <w:b/>
          <w:kern w:val="0"/>
          <w:sz w:val="36"/>
          <w:szCs w:val="36"/>
        </w:rPr>
        <w:t>年半年度募集资金存放与使用情况的专项报告</w:t>
      </w:r>
    </w:p>
    <w:p w:rsidR="00073353" w:rsidRPr="00637F7C" w:rsidRDefault="00411497">
      <w:pPr>
        <w:wordWrap w:val="0"/>
        <w:autoSpaceDE w:val="0"/>
        <w:autoSpaceDN w:val="0"/>
        <w:adjustRightInd w:val="0"/>
        <w:spacing w:beforeLines="50" w:before="120" w:afterLines="100" w:after="240"/>
        <w:ind w:firstLineChars="200" w:firstLine="480"/>
        <w:jc w:val="left"/>
        <w:rPr>
          <w:rFonts w:ascii="楷体" w:eastAsia="楷体" w:hAnsi="楷体"/>
          <w:kern w:val="0"/>
          <w:sz w:val="24"/>
          <w:szCs w:val="24"/>
        </w:rPr>
      </w:pPr>
      <w:r w:rsidRPr="00637F7C">
        <w:rPr>
          <w:rFonts w:ascii="楷体" w:eastAsia="楷体" w:hAnsi="楷体"/>
          <w:kern w:val="0"/>
          <w:sz w:val="24"/>
          <w:szCs w:val="24"/>
        </w:rPr>
        <w:t>本公司及</w:t>
      </w:r>
      <w:r w:rsidRPr="00637F7C">
        <w:rPr>
          <w:rFonts w:ascii="楷体" w:eastAsia="楷体" w:hAnsi="楷体" w:hint="eastAsia"/>
          <w:kern w:val="0"/>
          <w:sz w:val="24"/>
          <w:szCs w:val="24"/>
        </w:rPr>
        <w:t>董</w:t>
      </w:r>
      <w:r w:rsidRPr="00637F7C">
        <w:rPr>
          <w:rFonts w:ascii="楷体" w:eastAsia="楷体" w:hAnsi="楷体"/>
          <w:kern w:val="0"/>
          <w:sz w:val="24"/>
          <w:szCs w:val="24"/>
        </w:rPr>
        <w:t>事会全体成员保证信息披露的内容真实、准确、完整，没有虚假记载、误导性陈述或重大遗漏。</w:t>
      </w:r>
    </w:p>
    <w:p w:rsidR="00073353" w:rsidRPr="00637F7C" w:rsidRDefault="00411497">
      <w:pPr>
        <w:snapToGrid w:val="0"/>
        <w:spacing w:line="500" w:lineRule="exact"/>
        <w:ind w:firstLineChars="200" w:firstLine="480"/>
        <w:rPr>
          <w:rFonts w:ascii="宋体" w:hAnsi="宋体" w:cs="宋体"/>
          <w:kern w:val="0"/>
          <w:sz w:val="24"/>
          <w:szCs w:val="24"/>
        </w:rPr>
      </w:pPr>
      <w:r w:rsidRPr="00637F7C">
        <w:rPr>
          <w:rFonts w:ascii="宋体" w:hAnsi="宋体" w:hint="eastAsia"/>
          <w:sz w:val="24"/>
          <w:szCs w:val="24"/>
          <w:shd w:val="clear" w:color="auto" w:fill="FFFFFF"/>
        </w:rPr>
        <w:t>根据中国证券监督管理委员会《上市公司监管指引第2号——上市公司募集资金管理和使用的监管要求（2022年修订）》、《深圳证券交易所上市公司自律监管指引第1号——主板上市公司规范运作》以及《深圳证券交易所上市公司自律监管指南第2号——公告格式》的相关规定，</w:t>
      </w:r>
      <w:r w:rsidRPr="00637F7C">
        <w:rPr>
          <w:rFonts w:ascii="宋体" w:hAnsi="宋体" w:cs="宋体" w:hint="eastAsia"/>
          <w:kern w:val="0"/>
          <w:sz w:val="24"/>
          <w:szCs w:val="24"/>
        </w:rPr>
        <w:t>华孚时尚股份有限公司（以下简称 “公司”）将2022年半年度募集资金存放与实际使用情况专项说明如下：</w:t>
      </w:r>
    </w:p>
    <w:p w:rsidR="00073353" w:rsidRPr="00637F7C" w:rsidRDefault="00411497">
      <w:pPr>
        <w:tabs>
          <w:tab w:val="left" w:pos="870"/>
        </w:tabs>
        <w:snapToGrid w:val="0"/>
        <w:spacing w:line="500" w:lineRule="exact"/>
        <w:ind w:firstLineChars="196" w:firstLine="472"/>
        <w:rPr>
          <w:rFonts w:ascii="宋体" w:hAnsi="宋体" w:cs="宋体"/>
          <w:b/>
          <w:kern w:val="0"/>
          <w:sz w:val="24"/>
          <w:szCs w:val="24"/>
        </w:rPr>
      </w:pPr>
      <w:r w:rsidRPr="00637F7C">
        <w:rPr>
          <w:rFonts w:ascii="宋体" w:hAnsi="宋体" w:cs="宋体" w:hint="eastAsia"/>
          <w:b/>
          <w:kern w:val="0"/>
          <w:sz w:val="24"/>
          <w:szCs w:val="24"/>
        </w:rPr>
        <w:t>一、</w:t>
      </w:r>
      <w:r w:rsidRPr="00637F7C">
        <w:rPr>
          <w:rFonts w:ascii="宋体" w:hAnsi="宋体" w:cs="宋体"/>
          <w:b/>
          <w:kern w:val="0"/>
          <w:sz w:val="24"/>
          <w:szCs w:val="24"/>
        </w:rPr>
        <w:t>募集资金基本情况</w:t>
      </w:r>
    </w:p>
    <w:p w:rsidR="00073353" w:rsidRPr="00637F7C" w:rsidRDefault="00411497" w:rsidP="00026191">
      <w:pPr>
        <w:wordWrap w:val="0"/>
        <w:spacing w:line="500" w:lineRule="exact"/>
        <w:ind w:firstLineChars="200" w:firstLine="480"/>
        <w:rPr>
          <w:rFonts w:ascii="宋体" w:hAnsi="宋体"/>
          <w:sz w:val="24"/>
          <w:szCs w:val="24"/>
          <w:shd w:val="clear" w:color="auto" w:fill="FFFFFF"/>
        </w:rPr>
      </w:pPr>
      <w:r w:rsidRPr="00637F7C">
        <w:rPr>
          <w:rFonts w:ascii="宋体" w:hAnsi="宋体"/>
          <w:sz w:val="24"/>
          <w:szCs w:val="24"/>
          <w:shd w:val="clear" w:color="auto" w:fill="FFFFFF"/>
        </w:rPr>
        <w:t>经中国证券监督管理委员会（以下简称“中国证监会”）（证监许可[2020]2582号）《关于核准华孚时尚股份有限公司非公开发行股票的批复》核准，公司于2021年9月14日以非公开发行方式发行人民币普通股（A股）274,278,835股，发行价格为每股4.16元，募集资金总额1,140,999,953.60元，扣除承销费和保荐费10,660,000.00元后的募集资金为人民币1,130,339,953.60元，已由华泰联合证券于2021年9月14日存入公司开立在浙商银行绍兴上虞支行账号为3371020210120100198791和建设银行深圳罗湖支行账号为44250100002809999888的人民币账户；减除其他发行费用人民币3,964,568.82元后，募集资金净额为人民币1,126,375,384.78元。上述资金到位情况</w:t>
      </w:r>
      <w:proofErr w:type="gramStart"/>
      <w:r w:rsidRPr="00637F7C">
        <w:rPr>
          <w:rFonts w:ascii="宋体" w:hAnsi="宋体"/>
          <w:sz w:val="24"/>
          <w:szCs w:val="24"/>
          <w:shd w:val="clear" w:color="auto" w:fill="FFFFFF"/>
        </w:rPr>
        <w:t>业经大</w:t>
      </w:r>
      <w:proofErr w:type="gramEnd"/>
      <w:r w:rsidRPr="00637F7C">
        <w:rPr>
          <w:rFonts w:ascii="宋体" w:hAnsi="宋体"/>
          <w:sz w:val="24"/>
          <w:szCs w:val="24"/>
          <w:shd w:val="clear" w:color="auto" w:fill="FFFFFF"/>
        </w:rPr>
        <w:t>华会计师事务所（特殊普通合伙）验证，并由其出具“大华验字[2021]000637号”验资报告。公司对募集资金采取了专户存储制度。</w:t>
      </w:r>
    </w:p>
    <w:p w:rsidR="00073353" w:rsidRPr="00637F7C" w:rsidRDefault="00411497" w:rsidP="00026191">
      <w:pPr>
        <w:wordWrap w:val="0"/>
        <w:snapToGrid w:val="0"/>
        <w:spacing w:line="500" w:lineRule="exact"/>
        <w:ind w:firstLineChars="200" w:firstLine="480"/>
        <w:rPr>
          <w:rFonts w:ascii="宋体" w:hAnsi="宋体"/>
          <w:sz w:val="24"/>
          <w:szCs w:val="24"/>
          <w:shd w:val="clear" w:color="auto" w:fill="FFFFFF"/>
        </w:rPr>
      </w:pPr>
      <w:r w:rsidRPr="00637F7C">
        <w:rPr>
          <w:rFonts w:ascii="宋体" w:hAnsi="宋体" w:hint="eastAsia"/>
          <w:sz w:val="24"/>
          <w:szCs w:val="24"/>
          <w:shd w:val="clear" w:color="auto" w:fill="FFFFFF"/>
        </w:rPr>
        <w:t>截止2022年6月30日，公司对募集资金项目累计投入人民币</w:t>
      </w:r>
      <w:r w:rsidRPr="00637F7C">
        <w:rPr>
          <w:rFonts w:ascii="宋体" w:hAnsi="宋体"/>
          <w:sz w:val="24"/>
          <w:szCs w:val="24"/>
          <w:shd w:val="clear" w:color="auto" w:fill="FFFFFF"/>
        </w:rPr>
        <w:t>684,678,578.38</w:t>
      </w:r>
      <w:r w:rsidRPr="00637F7C">
        <w:rPr>
          <w:rFonts w:ascii="宋体" w:hAnsi="宋体" w:hint="eastAsia"/>
          <w:sz w:val="24"/>
          <w:szCs w:val="24"/>
          <w:shd w:val="clear" w:color="auto" w:fill="FFFFFF"/>
        </w:rPr>
        <w:t>元，本期投入</w:t>
      </w:r>
      <w:r w:rsidRPr="00637F7C">
        <w:rPr>
          <w:rFonts w:ascii="宋体" w:hAnsi="宋体"/>
          <w:sz w:val="24"/>
          <w:szCs w:val="24"/>
          <w:shd w:val="clear" w:color="auto" w:fill="FFFFFF"/>
        </w:rPr>
        <w:t>346,765,962.95</w:t>
      </w:r>
      <w:r w:rsidRPr="00637F7C">
        <w:rPr>
          <w:rFonts w:ascii="宋体" w:hAnsi="宋体" w:hint="eastAsia"/>
          <w:sz w:val="24"/>
          <w:szCs w:val="24"/>
          <w:shd w:val="clear" w:color="auto" w:fill="FFFFFF"/>
        </w:rPr>
        <w:t>元，其中：募集资金项目实际投入人民币</w:t>
      </w:r>
      <w:r w:rsidRPr="00637F7C">
        <w:rPr>
          <w:rFonts w:ascii="宋体" w:hAnsi="宋体"/>
          <w:sz w:val="24"/>
          <w:szCs w:val="24"/>
          <w:shd w:val="clear" w:color="auto" w:fill="FFFFFF"/>
        </w:rPr>
        <w:t>346,765,962.95</w:t>
      </w:r>
      <w:r w:rsidRPr="00637F7C">
        <w:rPr>
          <w:rFonts w:ascii="宋体" w:hAnsi="宋体" w:hint="eastAsia"/>
          <w:sz w:val="24"/>
          <w:szCs w:val="24"/>
          <w:shd w:val="clear" w:color="auto" w:fill="FFFFFF"/>
        </w:rPr>
        <w:t>元。截止2022年6月30日，募集资金余额为人民币</w:t>
      </w:r>
      <w:r w:rsidRPr="00637F7C">
        <w:rPr>
          <w:rFonts w:ascii="宋体" w:hAnsi="宋体"/>
          <w:sz w:val="24"/>
          <w:szCs w:val="24"/>
          <w:shd w:val="clear" w:color="auto" w:fill="FFFFFF"/>
        </w:rPr>
        <w:t>444,611,057.</w:t>
      </w:r>
      <w:r w:rsidRPr="00637F7C">
        <w:rPr>
          <w:rFonts w:ascii="宋体" w:hAnsi="宋体"/>
          <w:sz w:val="24"/>
          <w:szCs w:val="24"/>
          <w:shd w:val="clear" w:color="auto" w:fill="FFFFFF"/>
        </w:rPr>
        <w:lastRenderedPageBreak/>
        <w:t>46</w:t>
      </w:r>
      <w:r w:rsidR="005D4EB7" w:rsidRPr="00637F7C">
        <w:rPr>
          <w:rFonts w:ascii="宋体" w:hAnsi="宋体" w:hint="eastAsia"/>
          <w:sz w:val="24"/>
          <w:szCs w:val="24"/>
          <w:shd w:val="clear" w:color="auto" w:fill="FFFFFF"/>
        </w:rPr>
        <w:t>元（含募集资金现金管理专户</w:t>
      </w:r>
      <w:r w:rsidR="0078724E" w:rsidRPr="00637F7C">
        <w:rPr>
          <w:rFonts w:ascii="宋体" w:hAnsi="宋体" w:hint="eastAsia"/>
          <w:sz w:val="24"/>
          <w:szCs w:val="24"/>
          <w:shd w:val="clear" w:color="auto" w:fill="FFFFFF"/>
        </w:rPr>
        <w:t>通知</w:t>
      </w:r>
      <w:r w:rsidR="005D4EB7" w:rsidRPr="00637F7C">
        <w:rPr>
          <w:rFonts w:ascii="宋体" w:hAnsi="宋体" w:hint="eastAsia"/>
          <w:sz w:val="24"/>
          <w:szCs w:val="24"/>
          <w:shd w:val="clear" w:color="auto" w:fill="FFFFFF"/>
        </w:rPr>
        <w:t>存款</w:t>
      </w:r>
      <w:r w:rsidRPr="00637F7C">
        <w:rPr>
          <w:rFonts w:ascii="宋体" w:hAnsi="宋体"/>
          <w:sz w:val="24"/>
          <w:szCs w:val="24"/>
          <w:shd w:val="clear" w:color="auto" w:fill="FFFFFF"/>
        </w:rPr>
        <w:t>426,946,000.00</w:t>
      </w:r>
      <w:r w:rsidRPr="00637F7C">
        <w:rPr>
          <w:rFonts w:ascii="宋体" w:hAnsi="宋体" w:hint="eastAsia"/>
          <w:sz w:val="24"/>
          <w:szCs w:val="24"/>
          <w:shd w:val="clear" w:color="auto" w:fill="FFFFFF"/>
        </w:rPr>
        <w:t>元）。</w:t>
      </w:r>
    </w:p>
    <w:p w:rsidR="00073353" w:rsidRPr="00637F7C" w:rsidRDefault="00411497">
      <w:pPr>
        <w:snapToGrid w:val="0"/>
        <w:spacing w:line="500" w:lineRule="exact"/>
        <w:ind w:firstLineChars="200" w:firstLine="482"/>
        <w:rPr>
          <w:rFonts w:ascii="宋体" w:hAnsi="宋体" w:cs="宋体"/>
          <w:b/>
          <w:kern w:val="0"/>
          <w:sz w:val="24"/>
          <w:szCs w:val="24"/>
        </w:rPr>
      </w:pPr>
      <w:r w:rsidRPr="00637F7C">
        <w:rPr>
          <w:rFonts w:ascii="宋体" w:hAnsi="宋体" w:cs="宋体" w:hint="eastAsia"/>
          <w:b/>
          <w:kern w:val="0"/>
          <w:sz w:val="24"/>
          <w:szCs w:val="24"/>
        </w:rPr>
        <w:t>二、</w:t>
      </w:r>
      <w:r w:rsidRPr="00637F7C">
        <w:rPr>
          <w:rFonts w:ascii="宋体" w:hAnsi="宋体" w:cs="宋体"/>
          <w:b/>
          <w:kern w:val="0"/>
          <w:sz w:val="24"/>
          <w:szCs w:val="24"/>
        </w:rPr>
        <w:t>募集资金的管理情况</w:t>
      </w:r>
    </w:p>
    <w:p w:rsidR="00073353" w:rsidRPr="00637F7C" w:rsidRDefault="00411497">
      <w:pPr>
        <w:snapToGrid w:val="0"/>
        <w:spacing w:line="500" w:lineRule="exact"/>
        <w:ind w:firstLineChars="200" w:firstLine="480"/>
        <w:rPr>
          <w:rFonts w:ascii="宋体" w:hAnsi="宋体"/>
          <w:sz w:val="24"/>
          <w:szCs w:val="24"/>
        </w:rPr>
      </w:pPr>
      <w:r w:rsidRPr="00637F7C">
        <w:rPr>
          <w:rFonts w:ascii="宋体" w:hAnsi="宋体" w:hint="eastAsia"/>
          <w:sz w:val="24"/>
          <w:szCs w:val="24"/>
        </w:rPr>
        <w:t>为了规范募集资金的管理和使用，保护投资者权益，本公司依照《中华人民共和国公司法》、《中华人民共和国证券法》、《深圳证券交易所股票上市规则》、《深圳证券交易所上市公司自律监管指引第1号——主板上市公司规范运作》等法律法规，结合公司实际情况，制定了《华孚时尚股份有限公司募集资金管理制度》（以下简称“管理制度”），该《管理制度》经本公司2020年第二次临时股东大会决议审议通过。</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根据《管理制度》的要求，并结合公司经营需要，本公司在中国建设银行股份有限公司深圳罗湖支行、</w:t>
      </w:r>
      <w:proofErr w:type="gramStart"/>
      <w:r w:rsidRPr="00637F7C">
        <w:rPr>
          <w:rFonts w:ascii="宋体" w:hAnsi="宋体" w:hint="eastAsia"/>
          <w:sz w:val="24"/>
          <w:szCs w:val="24"/>
        </w:rPr>
        <w:t>浙商银行</w:t>
      </w:r>
      <w:proofErr w:type="gramEnd"/>
      <w:r w:rsidRPr="00637F7C">
        <w:rPr>
          <w:rFonts w:ascii="宋体" w:hAnsi="宋体" w:hint="eastAsia"/>
          <w:sz w:val="24"/>
          <w:szCs w:val="24"/>
        </w:rPr>
        <w:t>股份有限公司绍兴上虞支行开设募集资金专项账户，并于2021年9月15日与保荐机构、存放募集资金的商业银行签署了募集资金三方监管协议。</w:t>
      </w:r>
      <w:r w:rsidRPr="00637F7C">
        <w:rPr>
          <w:rFonts w:ascii="宋体" w:hAnsi="宋体"/>
          <w:sz w:val="24"/>
          <w:szCs w:val="24"/>
        </w:rPr>
        <w:t>2022年1月7日因</w:t>
      </w:r>
      <w:proofErr w:type="gramStart"/>
      <w:r w:rsidRPr="00637F7C">
        <w:rPr>
          <w:rFonts w:ascii="宋体" w:hAnsi="宋体"/>
          <w:sz w:val="24"/>
          <w:szCs w:val="24"/>
        </w:rPr>
        <w:t>变更募投项目</w:t>
      </w:r>
      <w:proofErr w:type="gramEnd"/>
      <w:r w:rsidR="00026191" w:rsidRPr="00637F7C">
        <w:rPr>
          <w:rFonts w:ascii="宋体" w:hAnsi="宋体" w:hint="eastAsia"/>
          <w:sz w:val="24"/>
          <w:szCs w:val="24"/>
        </w:rPr>
        <w:t>，</w:t>
      </w:r>
      <w:r w:rsidRPr="00637F7C">
        <w:rPr>
          <w:rFonts w:ascii="宋体" w:hAnsi="宋体"/>
          <w:sz w:val="24"/>
          <w:szCs w:val="24"/>
        </w:rPr>
        <w:t>公司与保荐机构、存放募集资金的商业银行签署了募集资金三方监管协议补充协议。公司严格按照内部制定的《管理制度》对募集资金的使用实行严格的审批手续，以保证专款专用；授权保荐代表人可以随时到开设募集资金专户的银行查询募集资金专户资料，并要求保荐代表人每季度对募集资金管理和使用情况至少进行现场调查一次。</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上述监管协议主要条款与深圳证券交易所《募集资金三方监管协议（范本）》不存在重大差异，公司对募集资金的使用严格遵照了《募集资金三方监管协议》及其补充协议的约定。</w:t>
      </w:r>
    </w:p>
    <w:p w:rsidR="00073353" w:rsidRPr="00637F7C" w:rsidRDefault="00411497">
      <w:pPr>
        <w:snapToGrid w:val="0"/>
        <w:spacing w:line="500" w:lineRule="exact"/>
        <w:ind w:firstLineChars="200" w:firstLine="480"/>
        <w:rPr>
          <w:rFonts w:ascii="宋体" w:hAnsi="宋体"/>
          <w:sz w:val="24"/>
          <w:szCs w:val="24"/>
        </w:rPr>
      </w:pPr>
      <w:r w:rsidRPr="00637F7C">
        <w:rPr>
          <w:rFonts w:ascii="宋体" w:hAnsi="宋体" w:hint="eastAsia"/>
          <w:sz w:val="24"/>
          <w:szCs w:val="24"/>
        </w:rPr>
        <w:t>截至20</w:t>
      </w:r>
      <w:r w:rsidRPr="00637F7C">
        <w:rPr>
          <w:rFonts w:ascii="宋体" w:hAnsi="宋体"/>
          <w:sz w:val="24"/>
          <w:szCs w:val="24"/>
        </w:rPr>
        <w:t>2</w:t>
      </w:r>
      <w:r w:rsidRPr="00637F7C">
        <w:rPr>
          <w:rFonts w:ascii="宋体" w:hAnsi="宋体" w:hint="eastAsia"/>
          <w:sz w:val="24"/>
          <w:szCs w:val="24"/>
        </w:rPr>
        <w:t>2年6月30日止，募集资金的存储情况列示如下：</w:t>
      </w:r>
    </w:p>
    <w:p w:rsidR="00073353" w:rsidRPr="00637F7C" w:rsidRDefault="00411497">
      <w:pPr>
        <w:snapToGrid w:val="0"/>
        <w:spacing w:line="500" w:lineRule="exact"/>
        <w:ind w:firstLineChars="3050" w:firstLine="7320"/>
        <w:rPr>
          <w:rFonts w:ascii="宋体" w:hAnsi="宋体"/>
          <w:sz w:val="24"/>
          <w:szCs w:val="24"/>
        </w:rPr>
      </w:pPr>
      <w:r w:rsidRPr="00637F7C">
        <w:rPr>
          <w:rFonts w:ascii="宋体" w:hAnsi="宋体" w:hint="eastAsia"/>
          <w:sz w:val="24"/>
          <w:szCs w:val="24"/>
        </w:rPr>
        <w:t>单位：元</w:t>
      </w:r>
    </w:p>
    <w:tbl>
      <w:tblPr>
        <w:tblW w:w="5132" w:type="pct"/>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489"/>
        <w:gridCol w:w="2590"/>
        <w:gridCol w:w="2130"/>
        <w:gridCol w:w="1810"/>
        <w:gridCol w:w="735"/>
      </w:tblGrid>
      <w:tr w:rsidR="00D320A2" w:rsidRPr="00637F7C">
        <w:trPr>
          <w:trHeight w:val="340"/>
          <w:tblHeader/>
          <w:jc w:val="center"/>
        </w:trPr>
        <w:tc>
          <w:tcPr>
            <w:tcW w:w="850" w:type="pct"/>
            <w:vAlign w:val="center"/>
          </w:tcPr>
          <w:p w:rsidR="00073353" w:rsidRPr="00637F7C" w:rsidRDefault="00411497">
            <w:pPr>
              <w:snapToGrid w:val="0"/>
              <w:jc w:val="center"/>
              <w:rPr>
                <w:rFonts w:ascii="宋体"/>
                <w:b/>
                <w:kern w:val="0"/>
                <w:szCs w:val="21"/>
              </w:rPr>
            </w:pPr>
            <w:r w:rsidRPr="00637F7C">
              <w:rPr>
                <w:rFonts w:ascii="宋体" w:hAnsi="宋体" w:hint="eastAsia"/>
                <w:b/>
                <w:kern w:val="0"/>
                <w:szCs w:val="21"/>
              </w:rPr>
              <w:t>银行名称</w:t>
            </w:r>
          </w:p>
        </w:tc>
        <w:tc>
          <w:tcPr>
            <w:tcW w:w="1479" w:type="pct"/>
            <w:vAlign w:val="center"/>
          </w:tcPr>
          <w:p w:rsidR="00073353" w:rsidRPr="00637F7C" w:rsidRDefault="00411497">
            <w:pPr>
              <w:snapToGrid w:val="0"/>
              <w:jc w:val="center"/>
              <w:rPr>
                <w:rFonts w:ascii="宋体"/>
                <w:b/>
                <w:kern w:val="0"/>
                <w:szCs w:val="21"/>
              </w:rPr>
            </w:pPr>
            <w:r w:rsidRPr="00637F7C">
              <w:rPr>
                <w:rFonts w:ascii="宋体" w:hAnsi="宋体" w:hint="eastAsia"/>
                <w:b/>
                <w:kern w:val="0"/>
                <w:szCs w:val="21"/>
              </w:rPr>
              <w:t>账号</w:t>
            </w:r>
          </w:p>
        </w:tc>
        <w:tc>
          <w:tcPr>
            <w:tcW w:w="1216" w:type="pct"/>
            <w:vAlign w:val="center"/>
          </w:tcPr>
          <w:p w:rsidR="00073353" w:rsidRPr="00637F7C" w:rsidRDefault="00411497">
            <w:pPr>
              <w:snapToGrid w:val="0"/>
              <w:jc w:val="center"/>
              <w:rPr>
                <w:rFonts w:ascii="宋体"/>
                <w:b/>
                <w:kern w:val="0"/>
                <w:szCs w:val="21"/>
              </w:rPr>
            </w:pPr>
            <w:r w:rsidRPr="00637F7C">
              <w:rPr>
                <w:rFonts w:ascii="宋体" w:hAnsi="宋体" w:hint="eastAsia"/>
                <w:b/>
                <w:kern w:val="0"/>
                <w:szCs w:val="21"/>
              </w:rPr>
              <w:t>初时存放金额</w:t>
            </w:r>
          </w:p>
        </w:tc>
        <w:tc>
          <w:tcPr>
            <w:tcW w:w="1034" w:type="pct"/>
            <w:vAlign w:val="center"/>
          </w:tcPr>
          <w:p w:rsidR="00073353" w:rsidRPr="00637F7C" w:rsidRDefault="00411497">
            <w:pPr>
              <w:snapToGrid w:val="0"/>
              <w:jc w:val="center"/>
              <w:rPr>
                <w:rFonts w:ascii="宋体"/>
                <w:b/>
                <w:kern w:val="0"/>
                <w:szCs w:val="21"/>
              </w:rPr>
            </w:pPr>
            <w:r w:rsidRPr="00637F7C">
              <w:rPr>
                <w:rFonts w:ascii="宋体" w:hAnsi="宋体" w:hint="eastAsia"/>
                <w:b/>
                <w:kern w:val="0"/>
                <w:szCs w:val="21"/>
              </w:rPr>
              <w:t>截止日余额</w:t>
            </w:r>
          </w:p>
        </w:tc>
        <w:tc>
          <w:tcPr>
            <w:tcW w:w="420" w:type="pct"/>
            <w:vAlign w:val="center"/>
          </w:tcPr>
          <w:p w:rsidR="00073353" w:rsidRPr="00637F7C" w:rsidRDefault="00411497">
            <w:pPr>
              <w:snapToGrid w:val="0"/>
              <w:jc w:val="center"/>
              <w:rPr>
                <w:rFonts w:ascii="宋体"/>
                <w:b/>
                <w:kern w:val="0"/>
                <w:szCs w:val="21"/>
              </w:rPr>
            </w:pPr>
            <w:r w:rsidRPr="00637F7C">
              <w:rPr>
                <w:rFonts w:ascii="宋体" w:hAnsi="宋体" w:hint="eastAsia"/>
                <w:b/>
                <w:kern w:val="0"/>
                <w:szCs w:val="21"/>
              </w:rPr>
              <w:t>存储方式</w:t>
            </w:r>
          </w:p>
        </w:tc>
      </w:tr>
      <w:tr w:rsidR="00D320A2" w:rsidRPr="00637F7C">
        <w:trPr>
          <w:trHeight w:val="340"/>
          <w:jc w:val="center"/>
        </w:trPr>
        <w:tc>
          <w:tcPr>
            <w:tcW w:w="850" w:type="pct"/>
            <w:vAlign w:val="center"/>
          </w:tcPr>
          <w:p w:rsidR="00073353" w:rsidRPr="00637F7C" w:rsidRDefault="00411497">
            <w:pPr>
              <w:snapToGrid w:val="0"/>
              <w:jc w:val="center"/>
              <w:rPr>
                <w:rFonts w:ascii="宋体"/>
                <w:kern w:val="0"/>
                <w:szCs w:val="21"/>
              </w:rPr>
            </w:pPr>
            <w:proofErr w:type="gramStart"/>
            <w:r w:rsidRPr="00637F7C">
              <w:rPr>
                <w:rFonts w:ascii="宋体" w:hint="eastAsia"/>
                <w:kern w:val="0"/>
                <w:szCs w:val="21"/>
              </w:rPr>
              <w:t>浙商银行</w:t>
            </w:r>
            <w:proofErr w:type="gramEnd"/>
            <w:r w:rsidRPr="00637F7C">
              <w:rPr>
                <w:rFonts w:ascii="宋体" w:hint="eastAsia"/>
                <w:kern w:val="0"/>
                <w:szCs w:val="21"/>
              </w:rPr>
              <w:t>股份有限公司绍兴上虞支行</w:t>
            </w:r>
          </w:p>
        </w:tc>
        <w:tc>
          <w:tcPr>
            <w:tcW w:w="1479" w:type="pct"/>
            <w:vAlign w:val="center"/>
          </w:tcPr>
          <w:p w:rsidR="00073353" w:rsidRPr="00637F7C" w:rsidRDefault="00411497">
            <w:pPr>
              <w:snapToGrid w:val="0"/>
              <w:jc w:val="center"/>
              <w:rPr>
                <w:rFonts w:ascii="宋体"/>
                <w:kern w:val="0"/>
                <w:szCs w:val="21"/>
              </w:rPr>
            </w:pPr>
            <w:r w:rsidRPr="00637F7C">
              <w:rPr>
                <w:rFonts w:ascii="宋体"/>
                <w:kern w:val="0"/>
                <w:szCs w:val="21"/>
              </w:rPr>
              <w:t>3371020210120100198791</w:t>
            </w:r>
          </w:p>
        </w:tc>
        <w:tc>
          <w:tcPr>
            <w:tcW w:w="1216"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565,169,976.80</w:t>
            </w:r>
          </w:p>
        </w:tc>
        <w:tc>
          <w:tcPr>
            <w:tcW w:w="1034"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3,829,794.49</w:t>
            </w:r>
          </w:p>
        </w:tc>
        <w:tc>
          <w:tcPr>
            <w:tcW w:w="420" w:type="pct"/>
            <w:vAlign w:val="center"/>
          </w:tcPr>
          <w:p w:rsidR="00073353" w:rsidRPr="00637F7C" w:rsidRDefault="00411497">
            <w:pPr>
              <w:snapToGrid w:val="0"/>
              <w:jc w:val="center"/>
              <w:rPr>
                <w:rFonts w:ascii="宋体"/>
                <w:kern w:val="0"/>
                <w:szCs w:val="21"/>
              </w:rPr>
            </w:pPr>
            <w:r w:rsidRPr="00637F7C">
              <w:rPr>
                <w:rFonts w:ascii="宋体" w:hAnsi="宋体" w:hint="eastAsia"/>
                <w:kern w:val="0"/>
                <w:szCs w:val="21"/>
              </w:rPr>
              <w:t>活期</w:t>
            </w:r>
          </w:p>
        </w:tc>
      </w:tr>
      <w:tr w:rsidR="00D320A2" w:rsidRPr="00637F7C">
        <w:trPr>
          <w:trHeight w:val="340"/>
          <w:jc w:val="center"/>
        </w:trPr>
        <w:tc>
          <w:tcPr>
            <w:tcW w:w="850" w:type="pct"/>
            <w:vAlign w:val="center"/>
          </w:tcPr>
          <w:p w:rsidR="00073353" w:rsidRPr="00637F7C" w:rsidRDefault="00411497">
            <w:pPr>
              <w:snapToGrid w:val="0"/>
              <w:jc w:val="center"/>
              <w:rPr>
                <w:rFonts w:ascii="宋体"/>
                <w:kern w:val="0"/>
                <w:szCs w:val="21"/>
              </w:rPr>
            </w:pPr>
            <w:r w:rsidRPr="00637F7C">
              <w:rPr>
                <w:rFonts w:ascii="宋体" w:hint="eastAsia"/>
                <w:kern w:val="0"/>
                <w:szCs w:val="21"/>
              </w:rPr>
              <w:t>中国建设银行股份有限公司深圳罗湖支行</w:t>
            </w:r>
          </w:p>
        </w:tc>
        <w:tc>
          <w:tcPr>
            <w:tcW w:w="1479" w:type="pct"/>
            <w:vAlign w:val="center"/>
          </w:tcPr>
          <w:p w:rsidR="00073353" w:rsidRPr="00637F7C" w:rsidRDefault="00411497">
            <w:pPr>
              <w:snapToGrid w:val="0"/>
              <w:jc w:val="center"/>
              <w:rPr>
                <w:rFonts w:ascii="宋体"/>
                <w:kern w:val="0"/>
                <w:szCs w:val="21"/>
              </w:rPr>
            </w:pPr>
            <w:r w:rsidRPr="00637F7C">
              <w:rPr>
                <w:rFonts w:ascii="宋体"/>
                <w:kern w:val="0"/>
                <w:szCs w:val="21"/>
              </w:rPr>
              <w:t>44250100002809999888</w:t>
            </w:r>
          </w:p>
        </w:tc>
        <w:tc>
          <w:tcPr>
            <w:tcW w:w="1216"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565,169,976.80</w:t>
            </w:r>
          </w:p>
        </w:tc>
        <w:tc>
          <w:tcPr>
            <w:tcW w:w="1034"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13,835,262.97</w:t>
            </w:r>
          </w:p>
        </w:tc>
        <w:tc>
          <w:tcPr>
            <w:tcW w:w="420" w:type="pct"/>
            <w:vAlign w:val="center"/>
          </w:tcPr>
          <w:p w:rsidR="00073353" w:rsidRPr="00637F7C" w:rsidRDefault="00411497">
            <w:pPr>
              <w:snapToGrid w:val="0"/>
              <w:jc w:val="center"/>
              <w:rPr>
                <w:rFonts w:ascii="宋体"/>
                <w:kern w:val="0"/>
                <w:szCs w:val="21"/>
              </w:rPr>
            </w:pPr>
            <w:r w:rsidRPr="00637F7C">
              <w:rPr>
                <w:rFonts w:ascii="宋体" w:hint="eastAsia"/>
                <w:kern w:val="0"/>
                <w:szCs w:val="21"/>
              </w:rPr>
              <w:t>活期</w:t>
            </w:r>
          </w:p>
        </w:tc>
      </w:tr>
      <w:tr w:rsidR="00D320A2" w:rsidRPr="00637F7C">
        <w:trPr>
          <w:trHeight w:val="340"/>
          <w:jc w:val="center"/>
        </w:trPr>
        <w:tc>
          <w:tcPr>
            <w:tcW w:w="850" w:type="pct"/>
            <w:vAlign w:val="center"/>
          </w:tcPr>
          <w:p w:rsidR="00073353" w:rsidRPr="00637F7C" w:rsidRDefault="00411497">
            <w:pPr>
              <w:snapToGrid w:val="0"/>
              <w:jc w:val="center"/>
              <w:rPr>
                <w:rFonts w:ascii="宋体"/>
                <w:kern w:val="0"/>
                <w:szCs w:val="21"/>
              </w:rPr>
            </w:pPr>
            <w:r w:rsidRPr="00637F7C">
              <w:rPr>
                <w:rFonts w:ascii="宋体" w:hAnsi="宋体" w:hint="eastAsia"/>
                <w:kern w:val="0"/>
                <w:szCs w:val="21"/>
              </w:rPr>
              <w:t>合计</w:t>
            </w:r>
          </w:p>
        </w:tc>
        <w:tc>
          <w:tcPr>
            <w:tcW w:w="1479" w:type="pct"/>
            <w:vAlign w:val="center"/>
          </w:tcPr>
          <w:p w:rsidR="00073353" w:rsidRPr="00637F7C" w:rsidRDefault="00073353">
            <w:pPr>
              <w:snapToGrid w:val="0"/>
              <w:jc w:val="center"/>
              <w:rPr>
                <w:rFonts w:ascii="宋体"/>
                <w:kern w:val="0"/>
                <w:szCs w:val="21"/>
              </w:rPr>
            </w:pPr>
          </w:p>
        </w:tc>
        <w:tc>
          <w:tcPr>
            <w:tcW w:w="1216"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1,130,339,953.60</w:t>
            </w:r>
          </w:p>
        </w:tc>
        <w:tc>
          <w:tcPr>
            <w:tcW w:w="1034" w:type="pct"/>
            <w:vAlign w:val="center"/>
          </w:tcPr>
          <w:p w:rsidR="00073353" w:rsidRPr="00637F7C" w:rsidRDefault="00411497">
            <w:pPr>
              <w:snapToGrid w:val="0"/>
              <w:ind w:rightChars="50" w:right="105"/>
              <w:jc w:val="right"/>
              <w:rPr>
                <w:rFonts w:ascii="宋体"/>
                <w:kern w:val="0"/>
                <w:szCs w:val="21"/>
              </w:rPr>
            </w:pPr>
            <w:r w:rsidRPr="00637F7C">
              <w:rPr>
                <w:rFonts w:ascii="宋体"/>
                <w:kern w:val="0"/>
                <w:szCs w:val="21"/>
              </w:rPr>
              <w:t>17,665,057.46</w:t>
            </w:r>
          </w:p>
        </w:tc>
        <w:tc>
          <w:tcPr>
            <w:tcW w:w="420" w:type="pct"/>
            <w:vAlign w:val="center"/>
          </w:tcPr>
          <w:p w:rsidR="00073353" w:rsidRPr="00637F7C" w:rsidRDefault="00073353">
            <w:pPr>
              <w:snapToGrid w:val="0"/>
              <w:jc w:val="center"/>
              <w:rPr>
                <w:rFonts w:ascii="宋体"/>
                <w:kern w:val="0"/>
                <w:szCs w:val="21"/>
              </w:rPr>
            </w:pPr>
          </w:p>
        </w:tc>
      </w:tr>
    </w:tbl>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注：本公司</w:t>
      </w:r>
      <w:r w:rsidR="005D4EB7" w:rsidRPr="00637F7C">
        <w:rPr>
          <w:rFonts w:ascii="宋体" w:hAnsi="宋体" w:hint="eastAsia"/>
          <w:sz w:val="24"/>
          <w:szCs w:val="24"/>
          <w:shd w:val="clear" w:color="auto" w:fill="FFFFFF"/>
        </w:rPr>
        <w:t>募集资金现金管理专户</w:t>
      </w:r>
      <w:r w:rsidR="0078724E" w:rsidRPr="00637F7C">
        <w:rPr>
          <w:rFonts w:ascii="宋体" w:hAnsi="宋体" w:hint="eastAsia"/>
          <w:sz w:val="24"/>
          <w:szCs w:val="24"/>
          <w:shd w:val="clear" w:color="auto" w:fill="FFFFFF"/>
        </w:rPr>
        <w:t>通知</w:t>
      </w:r>
      <w:r w:rsidR="005D4EB7" w:rsidRPr="00637F7C">
        <w:rPr>
          <w:rFonts w:ascii="宋体" w:hAnsi="宋体" w:hint="eastAsia"/>
          <w:sz w:val="24"/>
          <w:szCs w:val="24"/>
          <w:shd w:val="clear" w:color="auto" w:fill="FFFFFF"/>
        </w:rPr>
        <w:t>存款</w:t>
      </w:r>
      <w:r w:rsidR="005D4EB7" w:rsidRPr="00637F7C">
        <w:rPr>
          <w:rFonts w:ascii="宋体" w:hAnsi="宋体"/>
          <w:sz w:val="24"/>
          <w:szCs w:val="24"/>
          <w:shd w:val="clear" w:color="auto" w:fill="FFFFFF"/>
        </w:rPr>
        <w:t>426,946,000.00</w:t>
      </w:r>
      <w:r w:rsidR="005D4EB7" w:rsidRPr="00637F7C">
        <w:rPr>
          <w:rFonts w:ascii="宋体" w:hAnsi="宋体" w:hint="eastAsia"/>
          <w:sz w:val="24"/>
          <w:szCs w:val="24"/>
          <w:shd w:val="clear" w:color="auto" w:fill="FFFFFF"/>
        </w:rPr>
        <w:t>元</w:t>
      </w:r>
      <w:r w:rsidRPr="00637F7C">
        <w:rPr>
          <w:rFonts w:ascii="宋体" w:hAnsi="宋体" w:hint="eastAsia"/>
          <w:sz w:val="24"/>
          <w:szCs w:val="24"/>
        </w:rPr>
        <w:t>。</w:t>
      </w:r>
    </w:p>
    <w:p w:rsidR="00073353" w:rsidRPr="00637F7C" w:rsidRDefault="00411497">
      <w:pPr>
        <w:snapToGrid w:val="0"/>
        <w:spacing w:line="500" w:lineRule="exact"/>
        <w:ind w:firstLineChars="200" w:firstLine="482"/>
        <w:rPr>
          <w:rFonts w:ascii="宋体" w:hAnsi="宋体" w:cs="宋体"/>
          <w:b/>
          <w:kern w:val="0"/>
          <w:sz w:val="24"/>
          <w:szCs w:val="24"/>
        </w:rPr>
      </w:pPr>
      <w:r w:rsidRPr="00637F7C">
        <w:rPr>
          <w:rFonts w:ascii="宋体" w:hAnsi="宋体" w:cs="宋体" w:hint="eastAsia"/>
          <w:b/>
          <w:kern w:val="0"/>
          <w:sz w:val="24"/>
          <w:szCs w:val="24"/>
        </w:rPr>
        <w:t>三、20</w:t>
      </w:r>
      <w:r w:rsidRPr="00637F7C">
        <w:rPr>
          <w:rFonts w:ascii="宋体" w:hAnsi="宋体" w:cs="宋体"/>
          <w:b/>
          <w:kern w:val="0"/>
          <w:sz w:val="24"/>
          <w:szCs w:val="24"/>
        </w:rPr>
        <w:t>2</w:t>
      </w:r>
      <w:r w:rsidRPr="00637F7C">
        <w:rPr>
          <w:rFonts w:ascii="宋体" w:hAnsi="宋体" w:cs="宋体" w:hint="eastAsia"/>
          <w:b/>
          <w:kern w:val="0"/>
          <w:sz w:val="24"/>
          <w:szCs w:val="24"/>
        </w:rPr>
        <w:t>2年度募集资金的使用情况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1、募集资金投资项目资金使用情况。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本公司</w:t>
      </w:r>
      <w:r w:rsidRPr="00637F7C">
        <w:rPr>
          <w:rFonts w:ascii="宋体" w:hAnsi="宋体" w:cs="Calibri"/>
          <w:sz w:val="24"/>
          <w:szCs w:val="24"/>
        </w:rPr>
        <w:t>2022</w:t>
      </w:r>
      <w:r w:rsidRPr="00637F7C">
        <w:rPr>
          <w:rFonts w:ascii="宋体" w:hAnsi="宋体" w:hint="eastAsia"/>
          <w:sz w:val="24"/>
          <w:szCs w:val="24"/>
        </w:rPr>
        <w:t>年半年度募集资金实际使用情况详见本报告附表《募集资金使用情况对照表》。</w:t>
      </w:r>
    </w:p>
    <w:p w:rsidR="00073353" w:rsidRPr="00637F7C" w:rsidRDefault="00411497">
      <w:pPr>
        <w:spacing w:line="500" w:lineRule="exact"/>
        <w:ind w:firstLineChars="200" w:firstLine="480"/>
        <w:rPr>
          <w:rFonts w:ascii="宋体" w:hAnsi="宋体"/>
          <w:sz w:val="24"/>
          <w:szCs w:val="24"/>
        </w:rPr>
      </w:pPr>
      <w:r w:rsidRPr="00637F7C">
        <w:rPr>
          <w:rFonts w:ascii="宋体" w:hAnsi="宋体"/>
          <w:sz w:val="24"/>
          <w:szCs w:val="24"/>
        </w:rPr>
        <w:t>2</w:t>
      </w:r>
      <w:r w:rsidRPr="00637F7C">
        <w:rPr>
          <w:rFonts w:ascii="宋体" w:hAnsi="宋体" w:hint="eastAsia"/>
          <w:sz w:val="24"/>
          <w:szCs w:val="24"/>
        </w:rPr>
        <w:t>、募集资金投资项目的实施地点、实施方式变更情况。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本公司</w:t>
      </w:r>
      <w:r w:rsidRPr="00637F7C">
        <w:rPr>
          <w:rFonts w:ascii="宋体" w:hAnsi="宋体"/>
          <w:sz w:val="24"/>
          <w:szCs w:val="24"/>
        </w:rPr>
        <w:t>2022</w:t>
      </w:r>
      <w:r w:rsidRPr="00637F7C">
        <w:rPr>
          <w:rFonts w:ascii="宋体" w:hAnsi="宋体" w:hint="eastAsia"/>
          <w:sz w:val="24"/>
          <w:szCs w:val="24"/>
        </w:rPr>
        <w:t>年半年度不存在募集资金投资项目的实施主体、实施地点、实施方式变更情况。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sz w:val="24"/>
          <w:szCs w:val="24"/>
        </w:rPr>
        <w:t>3</w:t>
      </w:r>
      <w:r w:rsidRPr="00637F7C">
        <w:rPr>
          <w:rFonts w:ascii="宋体" w:hAnsi="宋体" w:hint="eastAsia"/>
          <w:sz w:val="24"/>
          <w:szCs w:val="24"/>
        </w:rPr>
        <w:t>、募集资金投资项目先期投入及置换情况。</w:t>
      </w:r>
    </w:p>
    <w:p w:rsidR="00073353" w:rsidRPr="00637F7C" w:rsidRDefault="00411497">
      <w:pPr>
        <w:spacing w:line="500" w:lineRule="exact"/>
        <w:ind w:firstLineChars="196" w:firstLine="470"/>
        <w:rPr>
          <w:rFonts w:ascii="宋体" w:hAnsi="宋体"/>
          <w:sz w:val="24"/>
          <w:szCs w:val="24"/>
        </w:rPr>
      </w:pPr>
      <w:r w:rsidRPr="00637F7C">
        <w:rPr>
          <w:rFonts w:ascii="宋体" w:hAnsi="宋体" w:hint="eastAsia"/>
          <w:sz w:val="24"/>
          <w:szCs w:val="24"/>
        </w:rPr>
        <w:t>公司于2022年1月19日召开了第八届董事会2022年第一次临时会议和第八届监事会第二次会议,审议通过《关于使用募集资金置换先期投入自有资金的议案》,同意公司以非公开发行股票募集资金的28,272.94万元置换先期已投入相关项目的自有资金，详见公司于2022年1月21日披露在《证券时报》、《中国证券报》及巨潮资讯网(</w:t>
      </w:r>
      <w:hyperlink r:id="rId8" w:history="1">
        <w:r w:rsidRPr="00637F7C">
          <w:rPr>
            <w:rFonts w:ascii="宋体" w:hAnsi="宋体" w:hint="eastAsia"/>
            <w:sz w:val="24"/>
            <w:szCs w:val="24"/>
          </w:rPr>
          <w:t>http://www.cninfo.com.cn</w:t>
        </w:r>
      </w:hyperlink>
      <w:r w:rsidRPr="00637F7C">
        <w:rPr>
          <w:rFonts w:ascii="宋体" w:hAnsi="宋体" w:hint="eastAsia"/>
          <w:sz w:val="24"/>
          <w:szCs w:val="24"/>
        </w:rPr>
        <w:t>)上的《关于使用募集资金置换先期投入自有资金的公告》。</w:t>
      </w:r>
    </w:p>
    <w:p w:rsidR="00073353" w:rsidRPr="00637F7C" w:rsidRDefault="00411497">
      <w:pPr>
        <w:spacing w:line="500" w:lineRule="exact"/>
        <w:ind w:firstLineChars="200" w:firstLine="480"/>
        <w:rPr>
          <w:rFonts w:ascii="宋体" w:hAnsi="宋体"/>
          <w:sz w:val="24"/>
          <w:szCs w:val="24"/>
        </w:rPr>
      </w:pPr>
      <w:r w:rsidRPr="00637F7C">
        <w:rPr>
          <w:rFonts w:ascii="宋体" w:hAnsi="宋体"/>
          <w:sz w:val="24"/>
          <w:szCs w:val="24"/>
        </w:rPr>
        <w:t>4</w:t>
      </w:r>
      <w:r w:rsidRPr="00637F7C">
        <w:rPr>
          <w:rFonts w:ascii="宋体" w:hAnsi="宋体" w:hint="eastAsia"/>
          <w:sz w:val="24"/>
          <w:szCs w:val="24"/>
        </w:rPr>
        <w:t>、用闲置募集资金暂时补充流动资金情况。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截止</w:t>
      </w:r>
      <w:r w:rsidRPr="00637F7C">
        <w:rPr>
          <w:rFonts w:ascii="宋体" w:hAnsi="宋体"/>
          <w:sz w:val="24"/>
          <w:szCs w:val="24"/>
        </w:rPr>
        <w:t>2022</w:t>
      </w:r>
      <w:r w:rsidRPr="00637F7C">
        <w:rPr>
          <w:rFonts w:ascii="宋体" w:hAnsi="宋体" w:hint="eastAsia"/>
          <w:sz w:val="24"/>
          <w:szCs w:val="24"/>
        </w:rPr>
        <w:t>年6月30日，公司不存在使用闲置募集资金暂时补充流动资金情况。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5、用闲置募集资金进行现金管理情况。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公司于2021年10月26日召开公司第七届董事会第九次会议和第七届监事会第二十一次会议审议通过《关于使用部分闲置募集资金现金管理的议案》，同意公司在不影响</w:t>
      </w:r>
      <w:proofErr w:type="gramStart"/>
      <w:r w:rsidRPr="00637F7C">
        <w:rPr>
          <w:rFonts w:ascii="宋体" w:hAnsi="宋体" w:hint="eastAsia"/>
          <w:sz w:val="24"/>
          <w:szCs w:val="24"/>
        </w:rPr>
        <w:t>募投项目</w:t>
      </w:r>
      <w:proofErr w:type="gramEnd"/>
      <w:r w:rsidRPr="00637F7C">
        <w:rPr>
          <w:rFonts w:ascii="宋体" w:hAnsi="宋体" w:hint="eastAsia"/>
          <w:sz w:val="24"/>
          <w:szCs w:val="24"/>
        </w:rPr>
        <w:t>建设进度的前提下，为提高资金使用效率，使用不超过5.5亿元的闲置募集资金进行现金管理，上述额度可滚动使用，并授权公司管理</w:t>
      </w:r>
      <w:proofErr w:type="gramStart"/>
      <w:r w:rsidRPr="00637F7C">
        <w:rPr>
          <w:rFonts w:ascii="宋体" w:hAnsi="宋体" w:hint="eastAsia"/>
          <w:sz w:val="24"/>
          <w:szCs w:val="24"/>
        </w:rPr>
        <w:t>层具体</w:t>
      </w:r>
      <w:proofErr w:type="gramEnd"/>
      <w:r w:rsidRPr="00637F7C">
        <w:rPr>
          <w:rFonts w:ascii="宋体" w:hAnsi="宋体" w:hint="eastAsia"/>
          <w:sz w:val="24"/>
          <w:szCs w:val="24"/>
        </w:rPr>
        <w:t>实施安排相关事宜，现金管理期限与授权期限不超过公司董事会审议通过该事项之日起12个月。截止2022年6月30日，</w:t>
      </w:r>
      <w:r w:rsidRPr="00637F7C">
        <w:rPr>
          <w:rFonts w:ascii="宋体" w:hAnsi="宋体"/>
          <w:sz w:val="24"/>
          <w:szCs w:val="24"/>
        </w:rPr>
        <w:t>公司</w:t>
      </w:r>
      <w:r w:rsidR="005D4EB7" w:rsidRPr="00637F7C">
        <w:rPr>
          <w:rFonts w:ascii="宋体" w:hAnsi="宋体" w:hint="eastAsia"/>
          <w:sz w:val="24"/>
          <w:szCs w:val="24"/>
          <w:shd w:val="clear" w:color="auto" w:fill="FFFFFF"/>
        </w:rPr>
        <w:t>募集资金现金管理专户</w:t>
      </w:r>
      <w:r w:rsidR="0078724E" w:rsidRPr="00637F7C">
        <w:rPr>
          <w:rFonts w:ascii="宋体" w:hAnsi="宋体" w:hint="eastAsia"/>
          <w:sz w:val="24"/>
          <w:szCs w:val="24"/>
          <w:shd w:val="clear" w:color="auto" w:fill="FFFFFF"/>
        </w:rPr>
        <w:t>通知</w:t>
      </w:r>
      <w:r w:rsidR="005D4EB7" w:rsidRPr="00637F7C">
        <w:rPr>
          <w:rFonts w:ascii="宋体" w:hAnsi="宋体" w:hint="eastAsia"/>
          <w:sz w:val="24"/>
          <w:szCs w:val="24"/>
          <w:shd w:val="clear" w:color="auto" w:fill="FFFFFF"/>
        </w:rPr>
        <w:t>存款</w:t>
      </w:r>
      <w:r w:rsidR="005D4EB7" w:rsidRPr="00637F7C">
        <w:rPr>
          <w:rFonts w:ascii="宋体" w:hAnsi="宋体"/>
          <w:sz w:val="24"/>
          <w:szCs w:val="24"/>
          <w:shd w:val="clear" w:color="auto" w:fill="FFFFFF"/>
        </w:rPr>
        <w:t>426,946,000.00</w:t>
      </w:r>
      <w:r w:rsidR="005D4EB7" w:rsidRPr="00637F7C">
        <w:rPr>
          <w:rFonts w:ascii="宋体" w:hAnsi="宋体" w:hint="eastAsia"/>
          <w:sz w:val="24"/>
          <w:szCs w:val="24"/>
          <w:shd w:val="clear" w:color="auto" w:fill="FFFFFF"/>
        </w:rPr>
        <w:t>元</w:t>
      </w:r>
      <w:r w:rsidRPr="00637F7C">
        <w:rPr>
          <w:rFonts w:ascii="宋体" w:hAnsi="宋体"/>
          <w:sz w:val="24"/>
          <w:szCs w:val="24"/>
        </w:rPr>
        <w:t>情况如下</w:t>
      </w:r>
      <w:r w:rsidRPr="00637F7C">
        <w:rPr>
          <w:rFonts w:ascii="宋体" w:hAnsi="宋体" w:hint="eastAsia"/>
          <w:sz w:val="24"/>
          <w:szCs w:val="24"/>
        </w:rPr>
        <w:t>：</w:t>
      </w:r>
    </w:p>
    <w:p w:rsidR="00073353" w:rsidRPr="00637F7C" w:rsidRDefault="00411497">
      <w:pPr>
        <w:spacing w:line="500" w:lineRule="exact"/>
        <w:ind w:firstLineChars="2950" w:firstLine="7080"/>
        <w:rPr>
          <w:sz w:val="24"/>
          <w:szCs w:val="24"/>
        </w:rPr>
      </w:pPr>
      <w:r w:rsidRPr="00637F7C">
        <w:rPr>
          <w:rFonts w:hint="eastAsia"/>
          <w:sz w:val="24"/>
          <w:szCs w:val="24"/>
        </w:rPr>
        <w:t>单位：万元</w:t>
      </w:r>
    </w:p>
    <w:tbl>
      <w:tblPr>
        <w:tblStyle w:val="ad"/>
        <w:tblW w:w="5000"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712"/>
        <w:gridCol w:w="4123"/>
        <w:gridCol w:w="1564"/>
        <w:gridCol w:w="1279"/>
        <w:gridCol w:w="851"/>
      </w:tblGrid>
      <w:tr w:rsidR="0078724E" w:rsidRPr="00637F7C" w:rsidTr="0078724E">
        <w:tc>
          <w:tcPr>
            <w:tcW w:w="417" w:type="pct"/>
          </w:tcPr>
          <w:p w:rsidR="0078724E" w:rsidRPr="00637F7C" w:rsidRDefault="0078724E">
            <w:pPr>
              <w:spacing w:line="500" w:lineRule="exact"/>
              <w:jc w:val="center"/>
              <w:rPr>
                <w:rFonts w:ascii="宋体" w:hAnsi="宋体"/>
                <w:b/>
                <w:szCs w:val="21"/>
              </w:rPr>
            </w:pPr>
            <w:r w:rsidRPr="00637F7C">
              <w:rPr>
                <w:rFonts w:ascii="宋体" w:hAnsi="宋体" w:hint="eastAsia"/>
                <w:b/>
                <w:szCs w:val="21"/>
              </w:rPr>
              <w:t>序号</w:t>
            </w:r>
          </w:p>
        </w:tc>
        <w:tc>
          <w:tcPr>
            <w:tcW w:w="2417" w:type="pct"/>
          </w:tcPr>
          <w:p w:rsidR="0078724E" w:rsidRPr="00637F7C" w:rsidRDefault="0078724E">
            <w:pPr>
              <w:spacing w:line="500" w:lineRule="exact"/>
              <w:jc w:val="center"/>
              <w:rPr>
                <w:rFonts w:ascii="宋体" w:hAnsi="宋体"/>
                <w:b/>
                <w:szCs w:val="21"/>
              </w:rPr>
            </w:pPr>
            <w:r w:rsidRPr="00637F7C">
              <w:rPr>
                <w:rFonts w:ascii="宋体" w:hAnsi="宋体" w:hint="eastAsia"/>
                <w:b/>
                <w:szCs w:val="21"/>
              </w:rPr>
              <w:t>签约方</w:t>
            </w:r>
          </w:p>
        </w:tc>
        <w:tc>
          <w:tcPr>
            <w:tcW w:w="917" w:type="pct"/>
          </w:tcPr>
          <w:p w:rsidR="0078724E" w:rsidRPr="00637F7C" w:rsidRDefault="0078724E">
            <w:pPr>
              <w:spacing w:line="500" w:lineRule="exact"/>
              <w:jc w:val="center"/>
              <w:rPr>
                <w:rFonts w:ascii="宋体" w:hAnsi="宋体"/>
                <w:b/>
                <w:szCs w:val="21"/>
              </w:rPr>
            </w:pPr>
            <w:r w:rsidRPr="00637F7C">
              <w:rPr>
                <w:rFonts w:ascii="宋体" w:hAnsi="宋体" w:hint="eastAsia"/>
                <w:b/>
                <w:szCs w:val="21"/>
              </w:rPr>
              <w:t>产品名称</w:t>
            </w:r>
          </w:p>
        </w:tc>
        <w:tc>
          <w:tcPr>
            <w:tcW w:w="750" w:type="pct"/>
          </w:tcPr>
          <w:p w:rsidR="0078724E" w:rsidRPr="00637F7C" w:rsidRDefault="0078724E">
            <w:pPr>
              <w:spacing w:line="500" w:lineRule="exact"/>
              <w:jc w:val="center"/>
              <w:rPr>
                <w:rFonts w:ascii="宋体" w:hAnsi="宋体"/>
                <w:b/>
                <w:szCs w:val="21"/>
              </w:rPr>
            </w:pPr>
            <w:r w:rsidRPr="00637F7C">
              <w:rPr>
                <w:rFonts w:ascii="宋体" w:hAnsi="宋体" w:hint="eastAsia"/>
                <w:b/>
                <w:szCs w:val="21"/>
              </w:rPr>
              <w:t>投资金额</w:t>
            </w:r>
          </w:p>
        </w:tc>
        <w:tc>
          <w:tcPr>
            <w:tcW w:w="500" w:type="pct"/>
          </w:tcPr>
          <w:p w:rsidR="0078724E" w:rsidRPr="00637F7C" w:rsidRDefault="0078724E">
            <w:pPr>
              <w:spacing w:line="500" w:lineRule="exact"/>
              <w:jc w:val="center"/>
              <w:rPr>
                <w:rFonts w:ascii="宋体" w:hAnsi="宋体"/>
                <w:b/>
                <w:szCs w:val="21"/>
              </w:rPr>
            </w:pPr>
            <w:r w:rsidRPr="00637F7C">
              <w:rPr>
                <w:rFonts w:ascii="宋体" w:hAnsi="宋体" w:hint="eastAsia"/>
                <w:b/>
                <w:szCs w:val="21"/>
              </w:rPr>
              <w:t>收益</w:t>
            </w:r>
          </w:p>
        </w:tc>
      </w:tr>
      <w:tr w:rsidR="0078724E" w:rsidRPr="00637F7C" w:rsidTr="0078724E">
        <w:tc>
          <w:tcPr>
            <w:tcW w:w="417" w:type="pct"/>
            <w:vAlign w:val="center"/>
          </w:tcPr>
          <w:p w:rsidR="0078724E" w:rsidRPr="00637F7C" w:rsidRDefault="0078724E">
            <w:pPr>
              <w:jc w:val="center"/>
              <w:rPr>
                <w:rFonts w:ascii="宋体" w:hAnsi="宋体"/>
                <w:szCs w:val="21"/>
              </w:rPr>
            </w:pPr>
            <w:r w:rsidRPr="00637F7C">
              <w:rPr>
                <w:rFonts w:ascii="宋体" w:hAnsi="宋体" w:hint="eastAsia"/>
                <w:szCs w:val="21"/>
              </w:rPr>
              <w:t>1</w:t>
            </w:r>
          </w:p>
        </w:tc>
        <w:tc>
          <w:tcPr>
            <w:tcW w:w="2417" w:type="pct"/>
            <w:vAlign w:val="center"/>
          </w:tcPr>
          <w:p w:rsidR="0078724E" w:rsidRPr="00637F7C" w:rsidRDefault="0078724E">
            <w:pPr>
              <w:jc w:val="center"/>
              <w:rPr>
                <w:rFonts w:ascii="宋体" w:hAnsi="宋体"/>
                <w:szCs w:val="21"/>
              </w:rPr>
            </w:pPr>
            <w:proofErr w:type="gramStart"/>
            <w:r w:rsidRPr="00637F7C">
              <w:rPr>
                <w:rFonts w:ascii="宋体" w:hAnsi="宋体" w:hint="eastAsia"/>
                <w:szCs w:val="21"/>
              </w:rPr>
              <w:t>浙商银行</w:t>
            </w:r>
            <w:proofErr w:type="gramEnd"/>
            <w:r w:rsidRPr="00637F7C">
              <w:rPr>
                <w:rFonts w:ascii="宋体" w:hAnsi="宋体" w:hint="eastAsia"/>
                <w:szCs w:val="21"/>
              </w:rPr>
              <w:t>股份有限公司绍兴上虞支行</w:t>
            </w:r>
          </w:p>
        </w:tc>
        <w:tc>
          <w:tcPr>
            <w:tcW w:w="917" w:type="pct"/>
            <w:vAlign w:val="center"/>
          </w:tcPr>
          <w:p w:rsidR="0078724E" w:rsidRPr="00637F7C" w:rsidRDefault="0078724E">
            <w:pPr>
              <w:jc w:val="center"/>
              <w:rPr>
                <w:rFonts w:ascii="宋体" w:hAnsi="宋体"/>
                <w:szCs w:val="21"/>
              </w:rPr>
            </w:pPr>
            <w:r w:rsidRPr="00637F7C">
              <w:rPr>
                <w:rFonts w:ascii="宋体" w:hAnsi="宋体" w:hint="eastAsia"/>
                <w:szCs w:val="21"/>
              </w:rPr>
              <w:t>七天通知存款</w:t>
            </w:r>
          </w:p>
        </w:tc>
        <w:tc>
          <w:tcPr>
            <w:tcW w:w="750" w:type="pct"/>
            <w:vAlign w:val="center"/>
          </w:tcPr>
          <w:p w:rsidR="0078724E" w:rsidRPr="00637F7C" w:rsidRDefault="0078724E">
            <w:pPr>
              <w:jc w:val="right"/>
              <w:rPr>
                <w:rFonts w:ascii="宋体" w:hAnsi="宋体"/>
                <w:szCs w:val="21"/>
              </w:rPr>
            </w:pPr>
            <w:r w:rsidRPr="00637F7C">
              <w:rPr>
                <w:rFonts w:ascii="宋体" w:hAnsi="宋体" w:hint="eastAsia"/>
                <w:szCs w:val="21"/>
              </w:rPr>
              <w:t>23,370.00</w:t>
            </w:r>
          </w:p>
        </w:tc>
        <w:tc>
          <w:tcPr>
            <w:tcW w:w="500" w:type="pct"/>
            <w:vAlign w:val="center"/>
          </w:tcPr>
          <w:p w:rsidR="0078724E" w:rsidRPr="00637F7C" w:rsidRDefault="0078724E">
            <w:pPr>
              <w:jc w:val="right"/>
              <w:rPr>
                <w:rFonts w:ascii="宋体" w:hAnsi="宋体"/>
                <w:szCs w:val="21"/>
              </w:rPr>
            </w:pPr>
            <w:r w:rsidRPr="00637F7C">
              <w:rPr>
                <w:rFonts w:ascii="宋体" w:hAnsi="宋体" w:hint="eastAsia"/>
                <w:szCs w:val="21"/>
              </w:rPr>
              <w:t>35.71</w:t>
            </w:r>
          </w:p>
        </w:tc>
      </w:tr>
      <w:tr w:rsidR="0078724E" w:rsidRPr="00637F7C" w:rsidTr="0078724E">
        <w:tc>
          <w:tcPr>
            <w:tcW w:w="417" w:type="pct"/>
            <w:vAlign w:val="center"/>
          </w:tcPr>
          <w:p w:rsidR="0078724E" w:rsidRPr="00637F7C" w:rsidRDefault="0078724E">
            <w:pPr>
              <w:jc w:val="center"/>
              <w:rPr>
                <w:rFonts w:ascii="宋体" w:hAnsi="宋体"/>
                <w:szCs w:val="21"/>
              </w:rPr>
            </w:pPr>
            <w:r w:rsidRPr="00637F7C">
              <w:rPr>
                <w:rFonts w:ascii="宋体" w:hAnsi="宋体" w:hint="eastAsia"/>
                <w:szCs w:val="21"/>
              </w:rPr>
              <w:t>2</w:t>
            </w:r>
          </w:p>
        </w:tc>
        <w:tc>
          <w:tcPr>
            <w:tcW w:w="2417" w:type="pct"/>
            <w:vAlign w:val="center"/>
          </w:tcPr>
          <w:p w:rsidR="0078724E" w:rsidRPr="00637F7C" w:rsidRDefault="0078724E">
            <w:pPr>
              <w:jc w:val="center"/>
              <w:rPr>
                <w:rFonts w:ascii="宋体" w:hAnsi="宋体"/>
                <w:szCs w:val="21"/>
              </w:rPr>
            </w:pPr>
            <w:r w:rsidRPr="00637F7C">
              <w:rPr>
                <w:rFonts w:ascii="宋体" w:hAnsi="宋体" w:hint="eastAsia"/>
                <w:szCs w:val="21"/>
              </w:rPr>
              <w:t>中国建设银行股份有限公司深圳罗湖支行</w:t>
            </w:r>
          </w:p>
        </w:tc>
        <w:tc>
          <w:tcPr>
            <w:tcW w:w="917" w:type="pct"/>
            <w:vAlign w:val="center"/>
          </w:tcPr>
          <w:p w:rsidR="0078724E" w:rsidRPr="00637F7C" w:rsidRDefault="0078724E">
            <w:pPr>
              <w:jc w:val="center"/>
              <w:rPr>
                <w:rFonts w:ascii="宋体" w:hAnsi="宋体"/>
                <w:szCs w:val="21"/>
              </w:rPr>
            </w:pPr>
            <w:r w:rsidRPr="00637F7C">
              <w:rPr>
                <w:rFonts w:ascii="宋体" w:hAnsi="宋体" w:hint="eastAsia"/>
                <w:szCs w:val="21"/>
              </w:rPr>
              <w:t>七天通知存款</w:t>
            </w:r>
          </w:p>
        </w:tc>
        <w:tc>
          <w:tcPr>
            <w:tcW w:w="750" w:type="pct"/>
            <w:vAlign w:val="center"/>
          </w:tcPr>
          <w:p w:rsidR="0078724E" w:rsidRPr="00637F7C" w:rsidRDefault="0078724E">
            <w:pPr>
              <w:jc w:val="right"/>
              <w:rPr>
                <w:rFonts w:ascii="宋体" w:hAnsi="宋体"/>
                <w:szCs w:val="21"/>
              </w:rPr>
            </w:pPr>
            <w:r w:rsidRPr="00637F7C">
              <w:rPr>
                <w:rFonts w:ascii="宋体" w:hAnsi="宋体" w:hint="eastAsia"/>
                <w:szCs w:val="21"/>
              </w:rPr>
              <w:t>19,324.60</w:t>
            </w:r>
          </w:p>
        </w:tc>
        <w:tc>
          <w:tcPr>
            <w:tcW w:w="500" w:type="pct"/>
            <w:vAlign w:val="center"/>
          </w:tcPr>
          <w:p w:rsidR="0078724E" w:rsidRPr="00637F7C" w:rsidRDefault="0078724E">
            <w:pPr>
              <w:jc w:val="right"/>
              <w:rPr>
                <w:rFonts w:ascii="宋体" w:hAnsi="宋体"/>
                <w:szCs w:val="21"/>
              </w:rPr>
            </w:pPr>
            <w:r w:rsidRPr="00637F7C">
              <w:rPr>
                <w:rFonts w:ascii="宋体" w:hAnsi="宋体" w:hint="eastAsia"/>
                <w:szCs w:val="21"/>
              </w:rPr>
              <w:t>83.44</w:t>
            </w:r>
          </w:p>
        </w:tc>
      </w:tr>
      <w:tr w:rsidR="0078724E" w:rsidRPr="00637F7C" w:rsidTr="0078724E">
        <w:trPr>
          <w:trHeight w:val="175"/>
        </w:trPr>
        <w:tc>
          <w:tcPr>
            <w:tcW w:w="417" w:type="pct"/>
            <w:vAlign w:val="center"/>
          </w:tcPr>
          <w:p w:rsidR="0078724E" w:rsidRPr="00637F7C" w:rsidRDefault="0078724E">
            <w:pPr>
              <w:jc w:val="center"/>
              <w:rPr>
                <w:rFonts w:ascii="宋体" w:hAnsi="宋体"/>
                <w:szCs w:val="21"/>
              </w:rPr>
            </w:pPr>
            <w:r w:rsidRPr="00637F7C">
              <w:rPr>
                <w:rFonts w:ascii="宋体" w:hAnsi="宋体" w:hint="eastAsia"/>
                <w:szCs w:val="21"/>
              </w:rPr>
              <w:t>合计</w:t>
            </w:r>
          </w:p>
        </w:tc>
        <w:tc>
          <w:tcPr>
            <w:tcW w:w="2417" w:type="pct"/>
            <w:vAlign w:val="center"/>
          </w:tcPr>
          <w:p w:rsidR="0078724E" w:rsidRPr="00637F7C" w:rsidRDefault="0078724E">
            <w:pPr>
              <w:jc w:val="center"/>
              <w:rPr>
                <w:rFonts w:ascii="宋体" w:hAnsi="宋体"/>
                <w:szCs w:val="21"/>
              </w:rPr>
            </w:pPr>
          </w:p>
        </w:tc>
        <w:tc>
          <w:tcPr>
            <w:tcW w:w="917" w:type="pct"/>
            <w:vAlign w:val="center"/>
          </w:tcPr>
          <w:p w:rsidR="0078724E" w:rsidRPr="00637F7C" w:rsidRDefault="0078724E">
            <w:pPr>
              <w:jc w:val="center"/>
              <w:rPr>
                <w:rFonts w:ascii="宋体" w:hAnsi="宋体"/>
                <w:szCs w:val="21"/>
              </w:rPr>
            </w:pPr>
          </w:p>
        </w:tc>
        <w:tc>
          <w:tcPr>
            <w:tcW w:w="750" w:type="pct"/>
            <w:vAlign w:val="center"/>
          </w:tcPr>
          <w:p w:rsidR="0078724E" w:rsidRPr="00637F7C" w:rsidRDefault="0078724E">
            <w:pPr>
              <w:jc w:val="center"/>
              <w:rPr>
                <w:rFonts w:ascii="宋体" w:hAnsi="宋体"/>
                <w:szCs w:val="21"/>
              </w:rPr>
            </w:pPr>
            <w:r w:rsidRPr="00637F7C">
              <w:rPr>
                <w:rFonts w:ascii="宋体" w:hAnsi="宋体" w:hint="eastAsia"/>
                <w:szCs w:val="21"/>
              </w:rPr>
              <w:t xml:space="preserve"> </w:t>
            </w:r>
            <w:r w:rsidRPr="00637F7C">
              <w:rPr>
                <w:rFonts w:ascii="宋体" w:hAnsi="宋体"/>
                <w:szCs w:val="21"/>
              </w:rPr>
              <w:t>42,694.60</w:t>
            </w:r>
          </w:p>
        </w:tc>
        <w:tc>
          <w:tcPr>
            <w:tcW w:w="500" w:type="pct"/>
            <w:vAlign w:val="center"/>
          </w:tcPr>
          <w:p w:rsidR="0078724E" w:rsidRPr="00637F7C" w:rsidRDefault="0078724E">
            <w:pPr>
              <w:jc w:val="center"/>
              <w:rPr>
                <w:rFonts w:ascii="宋体" w:hAnsi="宋体"/>
                <w:szCs w:val="21"/>
              </w:rPr>
            </w:pPr>
            <w:r w:rsidRPr="00637F7C">
              <w:rPr>
                <w:rFonts w:ascii="宋体" w:hAnsi="宋体"/>
                <w:szCs w:val="21"/>
              </w:rPr>
              <w:t>119.15</w:t>
            </w:r>
          </w:p>
        </w:tc>
      </w:tr>
    </w:tbl>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6、节余募集资金使用情况。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截止</w:t>
      </w:r>
      <w:r w:rsidRPr="00637F7C">
        <w:rPr>
          <w:rFonts w:ascii="宋体" w:hAnsi="宋体"/>
          <w:sz w:val="24"/>
          <w:szCs w:val="24"/>
        </w:rPr>
        <w:t>2022</w:t>
      </w:r>
      <w:r w:rsidRPr="00637F7C">
        <w:rPr>
          <w:rFonts w:ascii="宋体" w:hAnsi="宋体" w:hint="eastAsia"/>
          <w:sz w:val="24"/>
          <w:szCs w:val="24"/>
        </w:rPr>
        <w:t>年6月30日，公司不存在节余资金使用情况。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7、超募资金使用情况。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截止</w:t>
      </w:r>
      <w:r w:rsidRPr="00637F7C">
        <w:rPr>
          <w:rFonts w:ascii="宋体" w:hAnsi="宋体"/>
          <w:sz w:val="24"/>
          <w:szCs w:val="24"/>
        </w:rPr>
        <w:t>2022</w:t>
      </w:r>
      <w:r w:rsidRPr="00637F7C">
        <w:rPr>
          <w:rFonts w:ascii="宋体" w:hAnsi="宋体" w:hint="eastAsia"/>
          <w:sz w:val="24"/>
          <w:szCs w:val="24"/>
        </w:rPr>
        <w:t>年6月30日，公司不存在超募资金使用情况。</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8、尚未使用的募集资金用途及去向。</w:t>
      </w:r>
    </w:p>
    <w:p w:rsidR="00073353" w:rsidRPr="00637F7C" w:rsidRDefault="00411497">
      <w:pPr>
        <w:spacing w:line="500" w:lineRule="exact"/>
        <w:ind w:firstLineChars="200" w:firstLine="480"/>
        <w:rPr>
          <w:rFonts w:ascii="宋体" w:hAnsi="宋体"/>
          <w:sz w:val="24"/>
          <w:szCs w:val="24"/>
        </w:rPr>
      </w:pPr>
      <w:r w:rsidRPr="00637F7C">
        <w:rPr>
          <w:rFonts w:ascii="宋体" w:hAnsi="宋体" w:hint="eastAsia"/>
          <w:sz w:val="24"/>
          <w:szCs w:val="24"/>
        </w:rPr>
        <w:t>截至</w:t>
      </w:r>
      <w:r w:rsidRPr="00637F7C">
        <w:rPr>
          <w:rFonts w:ascii="宋体" w:hAnsi="宋体"/>
          <w:sz w:val="24"/>
          <w:szCs w:val="24"/>
        </w:rPr>
        <w:t>2022</w:t>
      </w:r>
      <w:r w:rsidRPr="00637F7C">
        <w:rPr>
          <w:rFonts w:ascii="宋体" w:hAnsi="宋体" w:hint="eastAsia"/>
          <w:sz w:val="24"/>
          <w:szCs w:val="24"/>
        </w:rPr>
        <w:t>年</w:t>
      </w:r>
      <w:r w:rsidRPr="00637F7C">
        <w:rPr>
          <w:rFonts w:ascii="宋体" w:hAnsi="宋体"/>
          <w:sz w:val="24"/>
          <w:szCs w:val="24"/>
        </w:rPr>
        <w:t>06</w:t>
      </w:r>
      <w:r w:rsidRPr="00637F7C">
        <w:rPr>
          <w:rFonts w:ascii="宋体" w:hAnsi="宋体" w:hint="eastAsia"/>
          <w:sz w:val="24"/>
          <w:szCs w:val="24"/>
        </w:rPr>
        <w:t>月</w:t>
      </w:r>
      <w:r w:rsidRPr="00637F7C">
        <w:rPr>
          <w:rFonts w:ascii="宋体" w:hAnsi="宋体"/>
          <w:sz w:val="24"/>
          <w:szCs w:val="24"/>
        </w:rPr>
        <w:t>30</w:t>
      </w:r>
      <w:r w:rsidRPr="00637F7C">
        <w:rPr>
          <w:rFonts w:ascii="宋体" w:hAnsi="宋体" w:hint="eastAsia"/>
          <w:sz w:val="24"/>
          <w:szCs w:val="24"/>
        </w:rPr>
        <w:t>日，公司尚未使用的募集资金均存放在公司募集资金专户和募集资金现金管理专户。</w:t>
      </w:r>
    </w:p>
    <w:p w:rsidR="00073353" w:rsidRPr="00637F7C" w:rsidRDefault="00411497">
      <w:pPr>
        <w:pStyle w:val="a6"/>
        <w:snapToGrid w:val="0"/>
        <w:spacing w:line="500" w:lineRule="exact"/>
        <w:ind w:firstLine="200"/>
        <w:rPr>
          <w:rFonts w:ascii="宋体" w:hAnsi="宋体"/>
          <w:b/>
          <w:sz w:val="24"/>
          <w:szCs w:val="24"/>
        </w:rPr>
      </w:pPr>
      <w:r w:rsidRPr="00637F7C">
        <w:rPr>
          <w:rFonts w:ascii="宋体" w:hAnsi="宋体" w:hint="eastAsia"/>
          <w:b/>
          <w:sz w:val="24"/>
          <w:szCs w:val="24"/>
        </w:rPr>
        <w:t>四、变更募集资金投资项目的资金使用情况</w:t>
      </w:r>
    </w:p>
    <w:p w:rsidR="00073353" w:rsidRPr="00637F7C" w:rsidRDefault="00411497" w:rsidP="00026191">
      <w:pPr>
        <w:wordWrap w:val="0"/>
        <w:spacing w:line="560" w:lineRule="exact"/>
        <w:ind w:firstLine="482"/>
        <w:jc w:val="left"/>
        <w:rPr>
          <w:rFonts w:ascii="宋体" w:hAnsi="宋体"/>
          <w:sz w:val="24"/>
          <w:szCs w:val="24"/>
        </w:rPr>
      </w:pPr>
      <w:r w:rsidRPr="00637F7C">
        <w:rPr>
          <w:rFonts w:ascii="宋体" w:hAnsi="宋体" w:hint="eastAsia"/>
          <w:sz w:val="24"/>
          <w:szCs w:val="24"/>
        </w:rPr>
        <w:t>本公司于2021年12月24日召开第八届董事会2021年第一次临时会议，2022年 1 月 10 日召开公司 2022 年第一次临时股东大会，审议通过《关于变更部分募集资金投资项目的议案》，同意将公司2021年非公开发行股票募集资金投资项目华孚（越南）50万锭新型纱线项目（一期）变更为30万锭智能纺纱产业园项目（项目实施地在安徽省淮北市），详见公司于2021年12月25日披露在《证券时报》、《中国证券报》及巨潮资讯网(</w:t>
      </w:r>
      <w:hyperlink r:id="rId9" w:history="1">
        <w:r w:rsidRPr="00637F7C">
          <w:rPr>
            <w:rFonts w:ascii="宋体" w:hAnsi="宋体" w:hint="eastAsia"/>
            <w:sz w:val="24"/>
            <w:szCs w:val="24"/>
          </w:rPr>
          <w:t>http://www.cninfo.com.cn</w:t>
        </w:r>
      </w:hyperlink>
      <w:r w:rsidRPr="00637F7C">
        <w:rPr>
          <w:rFonts w:ascii="宋体" w:hAnsi="宋体" w:hint="eastAsia"/>
          <w:sz w:val="24"/>
          <w:szCs w:val="24"/>
        </w:rPr>
        <w:t>)上的《关于变更部分募集资金投资项目的公告》。变更募集资金投资项目的资金使用情况详见附表《变更募集资金投资项目情况表》</w:t>
      </w:r>
    </w:p>
    <w:p w:rsidR="00073353" w:rsidRPr="00637F7C" w:rsidRDefault="00411497">
      <w:pPr>
        <w:snapToGrid w:val="0"/>
        <w:spacing w:line="500" w:lineRule="exact"/>
        <w:ind w:firstLineChars="200" w:firstLine="482"/>
        <w:rPr>
          <w:rFonts w:ascii="宋体" w:hAnsi="宋体"/>
          <w:b/>
          <w:sz w:val="24"/>
          <w:szCs w:val="24"/>
        </w:rPr>
      </w:pPr>
      <w:r w:rsidRPr="00637F7C">
        <w:rPr>
          <w:rFonts w:ascii="宋体" w:hAnsi="宋体"/>
          <w:b/>
          <w:sz w:val="24"/>
          <w:szCs w:val="24"/>
        </w:rPr>
        <w:t>五、募集资金使用及披露中存在的问题</w:t>
      </w:r>
    </w:p>
    <w:p w:rsidR="00073353" w:rsidRPr="00637F7C" w:rsidRDefault="00411497">
      <w:pPr>
        <w:snapToGrid w:val="0"/>
        <w:spacing w:line="500" w:lineRule="exact"/>
        <w:ind w:firstLineChars="200" w:firstLine="480"/>
        <w:rPr>
          <w:rFonts w:ascii="宋体" w:hAnsi="宋体"/>
          <w:sz w:val="24"/>
          <w:szCs w:val="24"/>
        </w:rPr>
      </w:pPr>
      <w:r w:rsidRPr="00637F7C">
        <w:rPr>
          <w:rFonts w:ascii="宋体" w:hAnsi="宋体"/>
          <w:sz w:val="24"/>
          <w:szCs w:val="24"/>
        </w:rPr>
        <w:t>本公司已披</w:t>
      </w:r>
      <w:r w:rsidRPr="00637F7C">
        <w:rPr>
          <w:rFonts w:ascii="宋体" w:hAnsi="宋体" w:hint="eastAsia"/>
          <w:sz w:val="24"/>
          <w:szCs w:val="24"/>
        </w:rPr>
        <w:t>露</w:t>
      </w:r>
      <w:r w:rsidRPr="00637F7C">
        <w:rPr>
          <w:rFonts w:ascii="宋体" w:hAnsi="宋体"/>
          <w:sz w:val="24"/>
          <w:szCs w:val="24"/>
        </w:rPr>
        <w:t>的</w:t>
      </w:r>
      <w:r w:rsidRPr="00637F7C">
        <w:rPr>
          <w:rFonts w:ascii="宋体" w:hAnsi="宋体" w:hint="eastAsia"/>
          <w:sz w:val="24"/>
          <w:szCs w:val="24"/>
        </w:rPr>
        <w:t>关</w:t>
      </w:r>
      <w:r w:rsidRPr="00637F7C">
        <w:rPr>
          <w:rFonts w:ascii="宋体" w:hAnsi="宋体"/>
          <w:sz w:val="24"/>
          <w:szCs w:val="24"/>
        </w:rPr>
        <w:t>于募集资金使用</w:t>
      </w:r>
      <w:r w:rsidRPr="00637F7C">
        <w:rPr>
          <w:rFonts w:ascii="宋体" w:hAnsi="宋体" w:hint="eastAsia"/>
          <w:sz w:val="24"/>
          <w:szCs w:val="24"/>
        </w:rPr>
        <w:t>相</w:t>
      </w:r>
      <w:r w:rsidRPr="00637F7C">
        <w:rPr>
          <w:rFonts w:ascii="宋体" w:hAnsi="宋体"/>
          <w:sz w:val="24"/>
          <w:szCs w:val="24"/>
        </w:rPr>
        <w:t>关信息及时、真实、准确、完整</w:t>
      </w:r>
      <w:r w:rsidRPr="00637F7C">
        <w:rPr>
          <w:rFonts w:ascii="宋体" w:hAnsi="宋体" w:hint="eastAsia"/>
          <w:sz w:val="24"/>
          <w:szCs w:val="24"/>
        </w:rPr>
        <w:t>，</w:t>
      </w:r>
      <w:r w:rsidRPr="00637F7C">
        <w:rPr>
          <w:rFonts w:ascii="宋体" w:hAnsi="宋体"/>
          <w:sz w:val="24"/>
          <w:szCs w:val="24"/>
        </w:rPr>
        <w:t>募集资金</w:t>
      </w:r>
      <w:r w:rsidRPr="00637F7C">
        <w:rPr>
          <w:rFonts w:ascii="宋体" w:hAnsi="宋体" w:hint="eastAsia"/>
          <w:sz w:val="24"/>
          <w:szCs w:val="24"/>
        </w:rPr>
        <w:t>的使用</w:t>
      </w:r>
      <w:r w:rsidRPr="00637F7C">
        <w:rPr>
          <w:rFonts w:ascii="宋体" w:hAnsi="宋体"/>
          <w:sz w:val="24"/>
          <w:szCs w:val="24"/>
        </w:rPr>
        <w:t>和管理</w:t>
      </w:r>
      <w:r w:rsidRPr="00637F7C">
        <w:rPr>
          <w:rFonts w:ascii="宋体" w:hAnsi="宋体" w:hint="eastAsia"/>
          <w:sz w:val="24"/>
          <w:szCs w:val="24"/>
        </w:rPr>
        <w:t>不</w:t>
      </w:r>
      <w:r w:rsidRPr="00637F7C">
        <w:rPr>
          <w:rFonts w:ascii="宋体" w:hAnsi="宋体"/>
          <w:sz w:val="24"/>
          <w:szCs w:val="24"/>
        </w:rPr>
        <w:t>存在违规情况。</w:t>
      </w:r>
    </w:p>
    <w:p w:rsidR="00073353" w:rsidRPr="00637F7C" w:rsidRDefault="00073353">
      <w:pPr>
        <w:snapToGrid w:val="0"/>
        <w:spacing w:line="500" w:lineRule="exact"/>
        <w:ind w:firstLine="200"/>
        <w:rPr>
          <w:rFonts w:ascii="宋体" w:hAnsi="宋体"/>
          <w:sz w:val="24"/>
          <w:szCs w:val="24"/>
        </w:rPr>
      </w:pPr>
    </w:p>
    <w:p w:rsidR="00073353" w:rsidRPr="00637F7C" w:rsidRDefault="00411497">
      <w:pPr>
        <w:snapToGrid w:val="0"/>
        <w:spacing w:line="500" w:lineRule="exact"/>
        <w:ind w:right="-51" w:firstLineChars="2150" w:firstLine="5160"/>
        <w:rPr>
          <w:rFonts w:ascii="宋体" w:hAnsi="宋体"/>
          <w:sz w:val="24"/>
          <w:szCs w:val="24"/>
        </w:rPr>
      </w:pPr>
      <w:r w:rsidRPr="00637F7C">
        <w:rPr>
          <w:rFonts w:ascii="宋体" w:hAnsi="宋体" w:hint="eastAsia"/>
          <w:sz w:val="24"/>
          <w:szCs w:val="24"/>
        </w:rPr>
        <w:t>华孚时尚股份有限公司董事会</w:t>
      </w:r>
    </w:p>
    <w:p w:rsidR="00073353" w:rsidRPr="00637F7C" w:rsidRDefault="00411497">
      <w:pPr>
        <w:tabs>
          <w:tab w:val="left" w:pos="4253"/>
          <w:tab w:val="left" w:pos="4678"/>
        </w:tabs>
        <w:snapToGrid w:val="0"/>
        <w:spacing w:line="500" w:lineRule="exact"/>
        <w:ind w:rightChars="-24" w:right="-50" w:firstLine="200"/>
        <w:jc w:val="right"/>
        <w:rPr>
          <w:rFonts w:ascii="宋体" w:hAnsi="宋体"/>
          <w:sz w:val="24"/>
          <w:szCs w:val="24"/>
        </w:rPr>
        <w:sectPr w:rsidR="00073353" w:rsidRPr="00637F7C">
          <w:footerReference w:type="first" r:id="rId10"/>
          <w:pgSz w:w="11907" w:h="16840"/>
          <w:pgMar w:top="1560" w:right="1797" w:bottom="1440" w:left="1797" w:header="851" w:footer="992" w:gutter="0"/>
          <w:pgNumType w:start="1"/>
          <w:cols w:space="720"/>
          <w:docGrid w:linePitch="435"/>
        </w:sectPr>
      </w:pPr>
      <w:r w:rsidRPr="00637F7C">
        <w:rPr>
          <w:rFonts w:ascii="宋体" w:hAnsi="宋体" w:hint="eastAsia"/>
          <w:sz w:val="24"/>
          <w:szCs w:val="24"/>
        </w:rPr>
        <w:t>二〇二二年八月二十五日</w:t>
      </w:r>
    </w:p>
    <w:p w:rsidR="00073353" w:rsidRPr="00637F7C" w:rsidRDefault="00411497">
      <w:pPr>
        <w:tabs>
          <w:tab w:val="left" w:pos="4253"/>
          <w:tab w:val="left" w:pos="4678"/>
        </w:tabs>
        <w:snapToGrid w:val="0"/>
        <w:spacing w:line="360" w:lineRule="auto"/>
        <w:ind w:right="630"/>
        <w:jc w:val="left"/>
        <w:rPr>
          <w:rFonts w:ascii="宋体" w:hAnsi="宋体"/>
          <w:b/>
          <w:szCs w:val="21"/>
        </w:rPr>
      </w:pPr>
      <w:r w:rsidRPr="00637F7C">
        <w:rPr>
          <w:rFonts w:ascii="宋体" w:hAnsi="宋体" w:hint="eastAsia"/>
          <w:b/>
          <w:szCs w:val="21"/>
        </w:rPr>
        <w:t>附表1</w:t>
      </w:r>
    </w:p>
    <w:p w:rsidR="00073353" w:rsidRPr="00637F7C" w:rsidRDefault="00411497">
      <w:pPr>
        <w:snapToGrid w:val="0"/>
        <w:spacing w:line="360" w:lineRule="auto"/>
        <w:jc w:val="center"/>
        <w:rPr>
          <w:rFonts w:ascii="宋体" w:hAnsi="宋体"/>
          <w:b/>
          <w:sz w:val="30"/>
          <w:szCs w:val="30"/>
        </w:rPr>
      </w:pPr>
      <w:r w:rsidRPr="00637F7C">
        <w:rPr>
          <w:rFonts w:ascii="宋体" w:hAnsi="宋体" w:hint="eastAsia"/>
          <w:b/>
          <w:sz w:val="30"/>
          <w:szCs w:val="30"/>
        </w:rPr>
        <w:t>募集资金使用情况表</w:t>
      </w:r>
    </w:p>
    <w:p w:rsidR="00073353" w:rsidRPr="00637F7C" w:rsidRDefault="00411497">
      <w:pPr>
        <w:snapToGrid w:val="0"/>
        <w:spacing w:line="360" w:lineRule="auto"/>
        <w:jc w:val="left"/>
        <w:rPr>
          <w:rFonts w:ascii="宋体" w:hAnsi="宋体"/>
          <w:b/>
          <w:sz w:val="30"/>
          <w:szCs w:val="30"/>
        </w:rPr>
      </w:pPr>
      <w:r w:rsidRPr="00637F7C">
        <w:rPr>
          <w:rFonts w:ascii="宋体" w:hAnsi="宋体" w:hint="eastAsia"/>
          <w:szCs w:val="21"/>
        </w:rPr>
        <w:t>编制单位：</w:t>
      </w:r>
      <w:r w:rsidRPr="00637F7C">
        <w:rPr>
          <w:rFonts w:ascii="宋体" w:hAnsi="宋体"/>
          <w:szCs w:val="21"/>
        </w:rPr>
        <w:fldChar w:fldCharType="begin"/>
      </w:r>
      <w:r w:rsidRPr="00637F7C">
        <w:rPr>
          <w:rFonts w:ascii="宋体" w:hAnsi="宋体"/>
          <w:szCs w:val="21"/>
        </w:rPr>
        <w:instrText xml:space="preserve"> </w:instrText>
      </w:r>
      <w:r w:rsidRPr="00637F7C">
        <w:rPr>
          <w:rFonts w:ascii="宋体" w:hAnsi="宋体" w:hint="eastAsia"/>
          <w:szCs w:val="21"/>
        </w:rPr>
        <w:instrText>REF  公司全称</w:instrText>
      </w:r>
      <w:r w:rsidRPr="00637F7C">
        <w:rPr>
          <w:rFonts w:ascii="宋体" w:hAnsi="宋体"/>
          <w:szCs w:val="21"/>
        </w:rPr>
        <w:instrText xml:space="preserve">  \* MERGEFORMAT </w:instrText>
      </w:r>
      <w:r w:rsidRPr="00637F7C">
        <w:rPr>
          <w:rFonts w:ascii="宋体" w:hAnsi="宋体"/>
          <w:szCs w:val="21"/>
        </w:rPr>
        <w:fldChar w:fldCharType="separate"/>
      </w:r>
      <w:r w:rsidRPr="00637F7C">
        <w:rPr>
          <w:rFonts w:ascii="Arial Narrow" w:hAnsi="Arial Narrow" w:cs="Arial" w:hint="eastAsia"/>
          <w:kern w:val="0"/>
        </w:rPr>
        <w:t>华孚时尚股份有限公司</w:t>
      </w:r>
      <w:r w:rsidRPr="00637F7C">
        <w:rPr>
          <w:rFonts w:ascii="宋体" w:hAnsi="宋体"/>
          <w:szCs w:val="21"/>
        </w:rPr>
        <w:fldChar w:fldCharType="end"/>
      </w:r>
    </w:p>
    <w:p w:rsidR="00073353" w:rsidRPr="00637F7C" w:rsidRDefault="00411497">
      <w:pPr>
        <w:snapToGrid w:val="0"/>
        <w:spacing w:line="360" w:lineRule="auto"/>
        <w:ind w:rightChars="-84" w:right="-176"/>
        <w:jc w:val="right"/>
        <w:rPr>
          <w:rFonts w:ascii="宋体" w:hAnsi="宋体"/>
          <w:szCs w:val="21"/>
        </w:rPr>
      </w:pPr>
      <w:r w:rsidRPr="00637F7C">
        <w:rPr>
          <w:rFonts w:ascii="宋体" w:hAnsi="宋体" w:hint="eastAsia"/>
          <w:szCs w:val="21"/>
        </w:rPr>
        <w:t>单位：万元</w:t>
      </w:r>
    </w:p>
    <w:tbl>
      <w:tblPr>
        <w:tblW w:w="1406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268"/>
        <w:gridCol w:w="851"/>
        <w:gridCol w:w="1701"/>
        <w:gridCol w:w="1701"/>
        <w:gridCol w:w="1559"/>
        <w:gridCol w:w="1559"/>
        <w:gridCol w:w="766"/>
        <w:gridCol w:w="227"/>
        <w:gridCol w:w="992"/>
        <w:gridCol w:w="850"/>
        <w:gridCol w:w="851"/>
        <w:gridCol w:w="735"/>
      </w:tblGrid>
      <w:tr w:rsidR="00D320A2" w:rsidRPr="00637F7C">
        <w:trPr>
          <w:trHeight w:val="340"/>
        </w:trPr>
        <w:tc>
          <w:tcPr>
            <w:tcW w:w="3119" w:type="dxa"/>
            <w:gridSpan w:val="2"/>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募集资金总额</w:t>
            </w:r>
          </w:p>
        </w:tc>
        <w:tc>
          <w:tcPr>
            <w:tcW w:w="4961" w:type="dxa"/>
            <w:gridSpan w:val="3"/>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112,637.54</w:t>
            </w:r>
          </w:p>
        </w:tc>
        <w:tc>
          <w:tcPr>
            <w:tcW w:w="2325" w:type="dxa"/>
            <w:gridSpan w:val="2"/>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本年度投入募集资金总额</w:t>
            </w:r>
          </w:p>
        </w:tc>
        <w:tc>
          <w:tcPr>
            <w:tcW w:w="3655" w:type="dxa"/>
            <w:gridSpan w:val="5"/>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34,676.6</w:t>
            </w:r>
            <w:r w:rsidR="00026191" w:rsidRPr="00637F7C">
              <w:rPr>
                <w:rFonts w:ascii="宋体" w:hAnsi="宋体" w:cs="宋体" w:hint="eastAsia"/>
                <w:sz w:val="18"/>
                <w:szCs w:val="18"/>
              </w:rPr>
              <w:t>0</w:t>
            </w:r>
          </w:p>
        </w:tc>
      </w:tr>
      <w:tr w:rsidR="00D320A2" w:rsidRPr="00637F7C">
        <w:trPr>
          <w:trHeight w:val="340"/>
        </w:trPr>
        <w:tc>
          <w:tcPr>
            <w:tcW w:w="3119" w:type="dxa"/>
            <w:gridSpan w:val="2"/>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报告期内变更用途的募集资金总额</w:t>
            </w:r>
          </w:p>
        </w:tc>
        <w:tc>
          <w:tcPr>
            <w:tcW w:w="4961" w:type="dxa"/>
            <w:gridSpan w:val="3"/>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79,018.55</w:t>
            </w:r>
          </w:p>
        </w:tc>
        <w:tc>
          <w:tcPr>
            <w:tcW w:w="2325" w:type="dxa"/>
            <w:gridSpan w:val="2"/>
            <w:vMerge w:val="restart"/>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已累计投入募集资金总额</w:t>
            </w:r>
          </w:p>
        </w:tc>
        <w:tc>
          <w:tcPr>
            <w:tcW w:w="3655" w:type="dxa"/>
            <w:gridSpan w:val="5"/>
            <w:vMerge w:val="restart"/>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68,467.86</w:t>
            </w:r>
          </w:p>
        </w:tc>
      </w:tr>
      <w:tr w:rsidR="00D320A2" w:rsidRPr="00637F7C">
        <w:trPr>
          <w:trHeight w:val="340"/>
        </w:trPr>
        <w:tc>
          <w:tcPr>
            <w:tcW w:w="3119" w:type="dxa"/>
            <w:gridSpan w:val="2"/>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累计变更用途的募集资金总额</w:t>
            </w:r>
          </w:p>
        </w:tc>
        <w:tc>
          <w:tcPr>
            <w:tcW w:w="4961" w:type="dxa"/>
            <w:gridSpan w:val="3"/>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79,018.55</w:t>
            </w:r>
          </w:p>
        </w:tc>
        <w:tc>
          <w:tcPr>
            <w:tcW w:w="2325" w:type="dxa"/>
            <w:gridSpan w:val="2"/>
            <w:vMerge/>
            <w:vAlign w:val="center"/>
          </w:tcPr>
          <w:p w:rsidR="00073353" w:rsidRPr="00637F7C" w:rsidRDefault="00073353">
            <w:pPr>
              <w:widowControl/>
              <w:snapToGrid w:val="0"/>
              <w:jc w:val="left"/>
              <w:rPr>
                <w:rFonts w:ascii="宋体" w:hAnsi="宋体" w:cs="宋体"/>
                <w:kern w:val="0"/>
                <w:sz w:val="18"/>
                <w:szCs w:val="18"/>
              </w:rPr>
            </w:pPr>
          </w:p>
        </w:tc>
        <w:tc>
          <w:tcPr>
            <w:tcW w:w="3655" w:type="dxa"/>
            <w:gridSpan w:val="5"/>
            <w:vMerge/>
            <w:vAlign w:val="center"/>
          </w:tcPr>
          <w:p w:rsidR="00073353" w:rsidRPr="00637F7C" w:rsidRDefault="00073353">
            <w:pPr>
              <w:widowControl/>
              <w:snapToGrid w:val="0"/>
              <w:ind w:rightChars="100" w:right="210"/>
              <w:jc w:val="right"/>
              <w:rPr>
                <w:rFonts w:ascii="宋体" w:hAnsi="宋体" w:cs="宋体"/>
                <w:kern w:val="0"/>
                <w:sz w:val="18"/>
                <w:szCs w:val="18"/>
              </w:rPr>
            </w:pPr>
          </w:p>
        </w:tc>
      </w:tr>
      <w:tr w:rsidR="00D320A2" w:rsidRPr="00637F7C">
        <w:trPr>
          <w:trHeight w:val="340"/>
        </w:trPr>
        <w:tc>
          <w:tcPr>
            <w:tcW w:w="3119" w:type="dxa"/>
            <w:gridSpan w:val="2"/>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累计变更用途的募集资金总额比例</w:t>
            </w:r>
          </w:p>
        </w:tc>
        <w:tc>
          <w:tcPr>
            <w:tcW w:w="4961" w:type="dxa"/>
            <w:gridSpan w:val="3"/>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hint="eastAsia"/>
                <w:sz w:val="18"/>
                <w:szCs w:val="18"/>
              </w:rPr>
              <w:t>70.15%</w:t>
            </w:r>
          </w:p>
        </w:tc>
        <w:tc>
          <w:tcPr>
            <w:tcW w:w="2325" w:type="dxa"/>
            <w:gridSpan w:val="2"/>
            <w:vMerge/>
            <w:vAlign w:val="center"/>
          </w:tcPr>
          <w:p w:rsidR="00073353" w:rsidRPr="00637F7C" w:rsidRDefault="00073353">
            <w:pPr>
              <w:widowControl/>
              <w:snapToGrid w:val="0"/>
              <w:jc w:val="left"/>
              <w:rPr>
                <w:rFonts w:ascii="宋体" w:hAnsi="宋体" w:cs="宋体"/>
                <w:kern w:val="0"/>
                <w:sz w:val="18"/>
                <w:szCs w:val="18"/>
              </w:rPr>
            </w:pPr>
          </w:p>
        </w:tc>
        <w:tc>
          <w:tcPr>
            <w:tcW w:w="3655" w:type="dxa"/>
            <w:gridSpan w:val="5"/>
            <w:vMerge/>
            <w:vAlign w:val="center"/>
          </w:tcPr>
          <w:p w:rsidR="00073353" w:rsidRPr="00637F7C" w:rsidRDefault="00073353">
            <w:pPr>
              <w:widowControl/>
              <w:snapToGrid w:val="0"/>
              <w:ind w:rightChars="100" w:right="210"/>
              <w:jc w:val="right"/>
              <w:rPr>
                <w:rFonts w:ascii="宋体" w:hAnsi="宋体" w:cs="宋体"/>
                <w:kern w:val="0"/>
                <w:sz w:val="18"/>
                <w:szCs w:val="18"/>
              </w:rPr>
            </w:pP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承诺投资项目和超募资金投向</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是否已变更项目（含部分变更）</w:t>
            </w:r>
          </w:p>
        </w:tc>
        <w:tc>
          <w:tcPr>
            <w:tcW w:w="170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募集资金承诺投资总额</w:t>
            </w:r>
          </w:p>
        </w:tc>
        <w:tc>
          <w:tcPr>
            <w:tcW w:w="170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调整后投资总额(1)</w:t>
            </w:r>
          </w:p>
        </w:tc>
        <w:tc>
          <w:tcPr>
            <w:tcW w:w="1559"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本年度投入金额</w:t>
            </w:r>
          </w:p>
        </w:tc>
        <w:tc>
          <w:tcPr>
            <w:tcW w:w="1559"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截至期末累计投入金额(2)</w:t>
            </w:r>
          </w:p>
        </w:tc>
        <w:tc>
          <w:tcPr>
            <w:tcW w:w="993" w:type="dxa"/>
            <w:gridSpan w:val="2"/>
            <w:vAlign w:val="center"/>
          </w:tcPr>
          <w:p w:rsidR="00073353" w:rsidRPr="00637F7C" w:rsidRDefault="00411497">
            <w:pPr>
              <w:widowControl/>
              <w:snapToGrid w:val="0"/>
              <w:ind w:leftChars="-50" w:left="-105" w:rightChars="-50" w:right="-105"/>
              <w:jc w:val="center"/>
              <w:rPr>
                <w:rFonts w:ascii="宋体" w:hAnsi="宋体" w:cs="宋体"/>
                <w:kern w:val="0"/>
                <w:sz w:val="18"/>
                <w:szCs w:val="18"/>
              </w:rPr>
            </w:pPr>
            <w:r w:rsidRPr="00637F7C">
              <w:rPr>
                <w:rFonts w:ascii="宋体" w:hAnsi="宋体" w:cs="宋体" w:hint="eastAsia"/>
                <w:kern w:val="0"/>
                <w:sz w:val="18"/>
                <w:szCs w:val="18"/>
              </w:rPr>
              <w:t>截至期末投资进度（%）(3)＝(2)/(1)</w:t>
            </w:r>
          </w:p>
        </w:tc>
        <w:tc>
          <w:tcPr>
            <w:tcW w:w="992" w:type="dxa"/>
            <w:vAlign w:val="center"/>
          </w:tcPr>
          <w:p w:rsidR="00073353" w:rsidRPr="00637F7C" w:rsidRDefault="00411497">
            <w:pPr>
              <w:widowControl/>
              <w:snapToGrid w:val="0"/>
              <w:ind w:rightChars="-41" w:right="-86"/>
              <w:jc w:val="center"/>
              <w:rPr>
                <w:rFonts w:ascii="宋体" w:hAnsi="宋体" w:cs="宋体"/>
                <w:kern w:val="0"/>
                <w:sz w:val="18"/>
                <w:szCs w:val="18"/>
              </w:rPr>
            </w:pPr>
            <w:r w:rsidRPr="00637F7C">
              <w:rPr>
                <w:rFonts w:ascii="宋体" w:hAnsi="宋体" w:cs="宋体" w:hint="eastAsia"/>
                <w:kern w:val="0"/>
                <w:sz w:val="18"/>
                <w:szCs w:val="18"/>
              </w:rPr>
              <w:t>项目达到预定可使用状态日期</w:t>
            </w:r>
          </w:p>
        </w:tc>
        <w:tc>
          <w:tcPr>
            <w:tcW w:w="850"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本年度实现的效益</w:t>
            </w:r>
          </w:p>
        </w:tc>
        <w:tc>
          <w:tcPr>
            <w:tcW w:w="851" w:type="dxa"/>
            <w:vAlign w:val="center"/>
          </w:tcPr>
          <w:p w:rsidR="00073353" w:rsidRPr="00637F7C" w:rsidRDefault="00411497">
            <w:pPr>
              <w:widowControl/>
              <w:snapToGrid w:val="0"/>
              <w:ind w:rightChars="-47" w:right="-99"/>
              <w:jc w:val="center"/>
              <w:rPr>
                <w:rFonts w:ascii="宋体" w:hAnsi="宋体" w:cs="宋体"/>
                <w:kern w:val="0"/>
                <w:sz w:val="18"/>
                <w:szCs w:val="18"/>
              </w:rPr>
            </w:pPr>
            <w:r w:rsidRPr="00637F7C">
              <w:rPr>
                <w:rFonts w:ascii="宋体" w:hAnsi="宋体" w:cs="宋体" w:hint="eastAsia"/>
                <w:kern w:val="0"/>
                <w:sz w:val="18"/>
                <w:szCs w:val="18"/>
              </w:rPr>
              <w:t>是否达到预计效益</w:t>
            </w:r>
          </w:p>
        </w:tc>
        <w:tc>
          <w:tcPr>
            <w:tcW w:w="735" w:type="dxa"/>
            <w:vAlign w:val="center"/>
          </w:tcPr>
          <w:p w:rsidR="00073353" w:rsidRPr="00637F7C" w:rsidRDefault="00411497">
            <w:pPr>
              <w:widowControl/>
              <w:snapToGrid w:val="0"/>
              <w:ind w:rightChars="-36" w:right="-76"/>
              <w:jc w:val="center"/>
              <w:rPr>
                <w:rFonts w:ascii="宋体" w:hAnsi="宋体" w:cs="宋体"/>
                <w:kern w:val="0"/>
                <w:sz w:val="18"/>
                <w:szCs w:val="18"/>
              </w:rPr>
            </w:pPr>
            <w:r w:rsidRPr="00637F7C">
              <w:rPr>
                <w:rFonts w:ascii="宋体" w:hAnsi="宋体" w:cs="宋体" w:hint="eastAsia"/>
                <w:kern w:val="0"/>
                <w:sz w:val="18"/>
                <w:szCs w:val="18"/>
              </w:rPr>
              <w:t>项目可行性是否发生重大变化</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承诺投资项目</w:t>
            </w:r>
          </w:p>
        </w:tc>
        <w:tc>
          <w:tcPr>
            <w:tcW w:w="11792" w:type="dxa"/>
            <w:gridSpan w:val="11"/>
            <w:vAlign w:val="center"/>
          </w:tcPr>
          <w:p w:rsidR="00073353" w:rsidRPr="00637F7C" w:rsidRDefault="00073353">
            <w:pPr>
              <w:widowControl/>
              <w:snapToGrid w:val="0"/>
              <w:jc w:val="center"/>
              <w:rPr>
                <w:rFonts w:ascii="宋体" w:hAnsi="宋体" w:cs="宋体"/>
                <w:kern w:val="0"/>
                <w:sz w:val="18"/>
                <w:szCs w:val="18"/>
              </w:rPr>
            </w:pPr>
          </w:p>
        </w:tc>
      </w:tr>
      <w:tr w:rsidR="00D320A2" w:rsidRPr="00637F7C" w:rsidTr="00486E85">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1.华孚（越南）50万锭新型纱线项目（一期)</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是</w:t>
            </w: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105,000</w:t>
            </w:r>
          </w:p>
        </w:tc>
        <w:tc>
          <w:tcPr>
            <w:tcW w:w="1701" w:type="dxa"/>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hint="eastAsia"/>
                <w:kern w:val="0"/>
                <w:sz w:val="18"/>
                <w:szCs w:val="18"/>
              </w:rPr>
              <w:t>0</w:t>
            </w:r>
          </w:p>
        </w:tc>
        <w:tc>
          <w:tcPr>
            <w:tcW w:w="1559" w:type="dxa"/>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hint="eastAsia"/>
                <w:kern w:val="0"/>
                <w:sz w:val="18"/>
                <w:szCs w:val="18"/>
              </w:rPr>
              <w:t>0</w:t>
            </w:r>
          </w:p>
        </w:tc>
        <w:tc>
          <w:tcPr>
            <w:tcW w:w="1559" w:type="dxa"/>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hint="eastAsia"/>
                <w:kern w:val="0"/>
                <w:sz w:val="18"/>
                <w:szCs w:val="18"/>
              </w:rPr>
              <w:t>0</w:t>
            </w:r>
          </w:p>
        </w:tc>
        <w:tc>
          <w:tcPr>
            <w:tcW w:w="993" w:type="dxa"/>
            <w:gridSpan w:val="2"/>
            <w:tcBorders>
              <w:bottom w:val="dotted" w:sz="4" w:space="0" w:color="auto"/>
            </w:tcBorders>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0</w:t>
            </w:r>
          </w:p>
        </w:tc>
        <w:tc>
          <w:tcPr>
            <w:tcW w:w="992" w:type="dxa"/>
            <w:tcBorders>
              <w:bottom w:val="dotted" w:sz="4" w:space="0" w:color="auto"/>
            </w:tcBorders>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850" w:type="dxa"/>
            <w:vAlign w:val="center"/>
          </w:tcPr>
          <w:p w:rsidR="00073353" w:rsidRPr="00637F7C" w:rsidRDefault="00411497">
            <w:pPr>
              <w:widowControl/>
              <w:snapToGrid w:val="0"/>
              <w:jc w:val="right"/>
              <w:rPr>
                <w:rFonts w:ascii="宋体" w:hAnsi="宋体" w:cs="宋体"/>
                <w:kern w:val="0"/>
                <w:sz w:val="18"/>
                <w:szCs w:val="18"/>
              </w:rPr>
            </w:pPr>
            <w:r w:rsidRPr="00637F7C">
              <w:rPr>
                <w:rFonts w:ascii="Arial Narrow" w:hAnsi="Arial Narrow" w:cs="Arial Narrow"/>
                <w:kern w:val="0"/>
                <w:sz w:val="18"/>
                <w:szCs w:val="18"/>
              </w:rPr>
              <w:t>---</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735" w:type="dxa"/>
            <w:vAlign w:val="center"/>
          </w:tcPr>
          <w:p w:rsidR="00073353" w:rsidRPr="00637F7C" w:rsidRDefault="00026191">
            <w:pPr>
              <w:widowControl/>
              <w:snapToGrid w:val="0"/>
              <w:jc w:val="center"/>
              <w:rPr>
                <w:rFonts w:ascii="宋体" w:hAnsi="宋体" w:cs="宋体"/>
                <w:kern w:val="0"/>
                <w:sz w:val="18"/>
                <w:szCs w:val="18"/>
              </w:rPr>
            </w:pPr>
            <w:r w:rsidRPr="00637F7C">
              <w:rPr>
                <w:rFonts w:ascii="Arial Narrow" w:hAnsi="Arial Narrow" w:cs="Arial Narrow" w:hint="eastAsia"/>
                <w:kern w:val="0"/>
                <w:sz w:val="18"/>
                <w:szCs w:val="18"/>
              </w:rPr>
              <w:t>是</w:t>
            </w:r>
          </w:p>
        </w:tc>
      </w:tr>
      <w:tr w:rsidR="00D320A2" w:rsidRPr="00637F7C" w:rsidTr="00486E85">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2.</w:t>
            </w:r>
            <w:r w:rsidRPr="00637F7C">
              <w:rPr>
                <w:rFonts w:ascii="宋体" w:hAnsi="宋体" w:cs="宋体"/>
                <w:sz w:val="18"/>
                <w:szCs w:val="18"/>
              </w:rPr>
              <w:t xml:space="preserve"> 30万锭智能纺纱产业园项目</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否</w:t>
            </w:r>
          </w:p>
        </w:tc>
        <w:tc>
          <w:tcPr>
            <w:tcW w:w="1701" w:type="dxa"/>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hint="eastAsia"/>
                <w:kern w:val="0"/>
                <w:sz w:val="18"/>
                <w:szCs w:val="18"/>
              </w:rPr>
              <w:t>0</w:t>
            </w: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79,018.55</w:t>
            </w:r>
          </w:p>
        </w:tc>
        <w:tc>
          <w:tcPr>
            <w:tcW w:w="1559"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34,676.6</w:t>
            </w:r>
          </w:p>
        </w:tc>
        <w:tc>
          <w:tcPr>
            <w:tcW w:w="1559"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34,676.6</w:t>
            </w:r>
          </w:p>
        </w:tc>
        <w:tc>
          <w:tcPr>
            <w:tcW w:w="993" w:type="dxa"/>
            <w:gridSpan w:val="2"/>
            <w:tcBorders>
              <w:top w:val="dotted" w:sz="4" w:space="0" w:color="auto"/>
              <w:bottom w:val="dotted" w:sz="4" w:space="0" w:color="auto"/>
            </w:tcBorders>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44%</w:t>
            </w:r>
          </w:p>
        </w:tc>
        <w:tc>
          <w:tcPr>
            <w:tcW w:w="992" w:type="dxa"/>
            <w:tcBorders>
              <w:top w:val="dotted" w:sz="4" w:space="0" w:color="auto"/>
              <w:bottom w:val="dotted" w:sz="4" w:space="0" w:color="auto"/>
            </w:tcBorders>
            <w:shd w:val="clear" w:color="auto" w:fill="auto"/>
            <w:vAlign w:val="center"/>
          </w:tcPr>
          <w:p w:rsidR="00073353" w:rsidRPr="00637F7C" w:rsidRDefault="00C0533E">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850"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hint="eastAsia"/>
                <w:sz w:val="18"/>
                <w:szCs w:val="18"/>
              </w:rPr>
              <w:t>624</w:t>
            </w:r>
          </w:p>
        </w:tc>
        <w:tc>
          <w:tcPr>
            <w:tcW w:w="851" w:type="dxa"/>
            <w:vAlign w:val="center"/>
          </w:tcPr>
          <w:p w:rsidR="00073353" w:rsidRPr="00637F7C" w:rsidRDefault="00411497">
            <w:pPr>
              <w:widowControl/>
              <w:snapToGrid w:val="0"/>
              <w:jc w:val="center"/>
              <w:rPr>
                <w:rFonts w:ascii="Arial Narrow" w:hAnsi="Arial Narrow" w:cs="Arial Narrow"/>
                <w:kern w:val="0"/>
                <w:sz w:val="18"/>
                <w:szCs w:val="18"/>
              </w:rPr>
            </w:pPr>
            <w:r w:rsidRPr="00637F7C">
              <w:rPr>
                <w:rFonts w:ascii="Arial Narrow" w:hAnsi="Arial Narrow" w:cs="Arial Narrow" w:hint="eastAsia"/>
                <w:kern w:val="0"/>
                <w:sz w:val="18"/>
                <w:szCs w:val="18"/>
              </w:rPr>
              <w:t>是</w:t>
            </w:r>
          </w:p>
        </w:tc>
        <w:tc>
          <w:tcPr>
            <w:tcW w:w="735" w:type="dxa"/>
            <w:vAlign w:val="center"/>
          </w:tcPr>
          <w:p w:rsidR="00073353" w:rsidRPr="00637F7C" w:rsidRDefault="00411497">
            <w:pPr>
              <w:widowControl/>
              <w:snapToGrid w:val="0"/>
              <w:jc w:val="center"/>
              <w:rPr>
                <w:rFonts w:ascii="Arial Narrow" w:hAnsi="Arial Narrow" w:cs="Arial Narrow"/>
                <w:kern w:val="0"/>
                <w:sz w:val="18"/>
                <w:szCs w:val="18"/>
              </w:rPr>
            </w:pPr>
            <w:r w:rsidRPr="00637F7C">
              <w:rPr>
                <w:rFonts w:ascii="Arial Narrow" w:hAnsi="Arial Narrow" w:cs="Arial Narrow" w:hint="eastAsia"/>
                <w:kern w:val="0"/>
                <w:sz w:val="18"/>
                <w:szCs w:val="18"/>
              </w:rPr>
              <w:t>否</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3.补充流动资金</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否</w:t>
            </w: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45,000</w:t>
            </w: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33,791.26</w:t>
            </w:r>
          </w:p>
        </w:tc>
        <w:tc>
          <w:tcPr>
            <w:tcW w:w="1559" w:type="dxa"/>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hint="eastAsia"/>
                <w:kern w:val="0"/>
                <w:sz w:val="18"/>
                <w:szCs w:val="18"/>
              </w:rPr>
              <w:t>0.00</w:t>
            </w:r>
          </w:p>
        </w:tc>
        <w:tc>
          <w:tcPr>
            <w:tcW w:w="1559"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33,791.26</w:t>
            </w:r>
          </w:p>
        </w:tc>
        <w:tc>
          <w:tcPr>
            <w:tcW w:w="993" w:type="dxa"/>
            <w:gridSpan w:val="2"/>
            <w:tcBorders>
              <w:top w:val="dotted" w:sz="4" w:space="0" w:color="auto"/>
            </w:tcBorders>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kern w:val="0"/>
                <w:sz w:val="18"/>
                <w:szCs w:val="18"/>
              </w:rPr>
              <w:t>100%</w:t>
            </w:r>
          </w:p>
        </w:tc>
        <w:tc>
          <w:tcPr>
            <w:tcW w:w="992" w:type="dxa"/>
            <w:tcBorders>
              <w:top w:val="dotted" w:sz="4" w:space="0" w:color="auto"/>
            </w:tcBorders>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850" w:type="dxa"/>
            <w:vAlign w:val="center"/>
          </w:tcPr>
          <w:p w:rsidR="00073353" w:rsidRPr="00637F7C" w:rsidRDefault="00411497">
            <w:pPr>
              <w:widowControl/>
              <w:snapToGrid w:val="0"/>
              <w:jc w:val="right"/>
              <w:rPr>
                <w:rFonts w:ascii="宋体" w:hAnsi="宋体" w:cs="宋体"/>
                <w:kern w:val="0"/>
                <w:sz w:val="18"/>
                <w:szCs w:val="18"/>
              </w:rPr>
            </w:pPr>
            <w:r w:rsidRPr="00637F7C">
              <w:rPr>
                <w:rFonts w:ascii="Arial Narrow" w:hAnsi="Arial Narrow" w:cs="Arial Narrow"/>
                <w:kern w:val="0"/>
                <w:sz w:val="18"/>
                <w:szCs w:val="18"/>
              </w:rPr>
              <w:t>---</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735"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承诺投资项目小计</w:t>
            </w:r>
          </w:p>
        </w:tc>
        <w:tc>
          <w:tcPr>
            <w:tcW w:w="851" w:type="dxa"/>
            <w:vAlign w:val="center"/>
          </w:tcPr>
          <w:p w:rsidR="00073353" w:rsidRPr="00637F7C" w:rsidRDefault="00073353">
            <w:pPr>
              <w:widowControl/>
              <w:snapToGrid w:val="0"/>
              <w:jc w:val="center"/>
              <w:rPr>
                <w:rFonts w:ascii="宋体" w:hAnsi="宋体" w:cs="宋体"/>
                <w:kern w:val="0"/>
                <w:sz w:val="18"/>
                <w:szCs w:val="18"/>
              </w:rPr>
            </w:pP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150,000</w:t>
            </w:r>
          </w:p>
        </w:tc>
        <w:tc>
          <w:tcPr>
            <w:tcW w:w="1701"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112,809.81</w:t>
            </w:r>
          </w:p>
        </w:tc>
        <w:tc>
          <w:tcPr>
            <w:tcW w:w="1559"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34,676.6</w:t>
            </w:r>
          </w:p>
        </w:tc>
        <w:tc>
          <w:tcPr>
            <w:tcW w:w="1559"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sz w:val="18"/>
                <w:szCs w:val="18"/>
              </w:rPr>
              <w:t>68,467.86</w:t>
            </w:r>
          </w:p>
        </w:tc>
        <w:tc>
          <w:tcPr>
            <w:tcW w:w="993" w:type="dxa"/>
            <w:gridSpan w:val="2"/>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992"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850" w:type="dxa"/>
            <w:vAlign w:val="center"/>
          </w:tcPr>
          <w:p w:rsidR="00073353" w:rsidRPr="00637F7C" w:rsidRDefault="00411497">
            <w:pPr>
              <w:spacing w:line="240" w:lineRule="exact"/>
              <w:jc w:val="right"/>
              <w:rPr>
                <w:rFonts w:ascii="宋体" w:hAnsi="宋体" w:cs="宋体"/>
                <w:sz w:val="18"/>
                <w:szCs w:val="18"/>
              </w:rPr>
            </w:pPr>
            <w:r w:rsidRPr="00637F7C">
              <w:rPr>
                <w:rFonts w:ascii="宋体" w:hAnsi="宋体" w:cs="宋体" w:hint="eastAsia"/>
                <w:sz w:val="18"/>
                <w:szCs w:val="18"/>
              </w:rPr>
              <w:t>624</w:t>
            </w:r>
          </w:p>
        </w:tc>
        <w:tc>
          <w:tcPr>
            <w:tcW w:w="851"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c>
          <w:tcPr>
            <w:tcW w:w="735" w:type="dxa"/>
            <w:vAlign w:val="center"/>
          </w:tcPr>
          <w:p w:rsidR="00073353" w:rsidRPr="00637F7C" w:rsidRDefault="00411497">
            <w:pPr>
              <w:widowControl/>
              <w:snapToGrid w:val="0"/>
              <w:jc w:val="center"/>
              <w:rPr>
                <w:rFonts w:ascii="宋体" w:hAnsi="宋体" w:cs="宋体"/>
                <w:kern w:val="0"/>
                <w:sz w:val="18"/>
                <w:szCs w:val="18"/>
              </w:rPr>
            </w:pPr>
            <w:r w:rsidRPr="00637F7C">
              <w:rPr>
                <w:rFonts w:ascii="Arial Narrow" w:hAnsi="Arial Narrow" w:cs="Arial Narrow"/>
                <w:kern w:val="0"/>
                <w:sz w:val="18"/>
                <w:szCs w:val="18"/>
              </w:rPr>
              <w:t>---</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超募资金投向</w:t>
            </w:r>
          </w:p>
        </w:tc>
        <w:tc>
          <w:tcPr>
            <w:tcW w:w="11792" w:type="dxa"/>
            <w:gridSpan w:val="11"/>
            <w:vAlign w:val="center"/>
          </w:tcPr>
          <w:p w:rsidR="00073353" w:rsidRPr="00637F7C" w:rsidRDefault="00073353">
            <w:pPr>
              <w:widowControl/>
              <w:snapToGrid w:val="0"/>
              <w:jc w:val="center"/>
              <w:rPr>
                <w:rFonts w:ascii="宋体" w:hAnsi="宋体" w:cs="宋体"/>
                <w:kern w:val="0"/>
                <w:sz w:val="18"/>
                <w:szCs w:val="18"/>
              </w:rPr>
            </w:pP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未达到计划进度或预计收益的情况和原因（</w:t>
            </w:r>
            <w:proofErr w:type="gramStart"/>
            <w:r w:rsidRPr="00637F7C">
              <w:rPr>
                <w:rFonts w:ascii="宋体" w:hAnsi="宋体" w:cs="宋体" w:hint="eastAsia"/>
                <w:kern w:val="0"/>
                <w:sz w:val="18"/>
                <w:szCs w:val="18"/>
              </w:rPr>
              <w:t>分具体募投</w:t>
            </w:r>
            <w:proofErr w:type="gramEnd"/>
            <w:r w:rsidRPr="00637F7C">
              <w:rPr>
                <w:rFonts w:ascii="宋体" w:hAnsi="宋体" w:cs="宋体" w:hint="eastAsia"/>
                <w:kern w:val="0"/>
                <w:sz w:val="18"/>
                <w:szCs w:val="18"/>
              </w:rPr>
              <w:t>项目）</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kern w:val="0"/>
                <w:sz w:val="18"/>
                <w:szCs w:val="18"/>
              </w:rPr>
              <w:t>因外部市场环境变化及受越南疫情影响，</w:t>
            </w:r>
            <w:r w:rsidR="00026191" w:rsidRPr="00637F7C">
              <w:rPr>
                <w:rFonts w:ascii="宋体" w:hAnsi="宋体" w:cs="宋体" w:hint="eastAsia"/>
                <w:kern w:val="0"/>
                <w:sz w:val="18"/>
                <w:szCs w:val="18"/>
              </w:rPr>
              <w:t>华孚（越南）50万锭新型纱线项目（一期)</w:t>
            </w:r>
            <w:r w:rsidRPr="00637F7C">
              <w:rPr>
                <w:kern w:val="0"/>
                <w:sz w:val="18"/>
                <w:szCs w:val="18"/>
              </w:rPr>
              <w:t>建设进度有所延缓，实施周期被动拉长，存在投资收益不达预期的风险。因此，经公司于</w:t>
            </w:r>
            <w:r w:rsidRPr="00637F7C">
              <w:rPr>
                <w:kern w:val="0"/>
                <w:sz w:val="18"/>
                <w:szCs w:val="18"/>
              </w:rPr>
              <w:t>2022</w:t>
            </w:r>
            <w:r w:rsidRPr="00637F7C">
              <w:rPr>
                <w:kern w:val="0"/>
                <w:sz w:val="18"/>
                <w:szCs w:val="18"/>
              </w:rPr>
              <w:t>年</w:t>
            </w:r>
            <w:r w:rsidRPr="00637F7C">
              <w:rPr>
                <w:kern w:val="0"/>
                <w:sz w:val="18"/>
                <w:szCs w:val="18"/>
              </w:rPr>
              <w:t>1</w:t>
            </w:r>
            <w:r w:rsidRPr="00637F7C">
              <w:rPr>
                <w:kern w:val="0"/>
                <w:sz w:val="18"/>
                <w:szCs w:val="18"/>
              </w:rPr>
              <w:t>月</w:t>
            </w:r>
            <w:r w:rsidRPr="00637F7C">
              <w:rPr>
                <w:kern w:val="0"/>
                <w:sz w:val="18"/>
                <w:szCs w:val="18"/>
              </w:rPr>
              <w:t>10</w:t>
            </w:r>
            <w:r w:rsidRPr="00637F7C">
              <w:rPr>
                <w:kern w:val="0"/>
                <w:sz w:val="18"/>
                <w:szCs w:val="18"/>
              </w:rPr>
              <w:t>日召开的</w:t>
            </w:r>
            <w:r w:rsidRPr="00637F7C">
              <w:rPr>
                <w:kern w:val="0"/>
                <w:sz w:val="18"/>
                <w:szCs w:val="18"/>
              </w:rPr>
              <w:t>2022</w:t>
            </w:r>
            <w:r w:rsidRPr="00637F7C">
              <w:rPr>
                <w:kern w:val="0"/>
                <w:sz w:val="18"/>
                <w:szCs w:val="18"/>
              </w:rPr>
              <w:t>年第一次股东大会审议通过，同意将公司</w:t>
            </w:r>
            <w:r w:rsidRPr="00637F7C">
              <w:rPr>
                <w:kern w:val="0"/>
                <w:sz w:val="18"/>
                <w:szCs w:val="18"/>
              </w:rPr>
              <w:t>2021</w:t>
            </w:r>
            <w:r w:rsidRPr="00637F7C">
              <w:rPr>
                <w:kern w:val="0"/>
                <w:sz w:val="18"/>
                <w:szCs w:val="18"/>
              </w:rPr>
              <w:t>年非公开发行股票募集资金投资项目华孚（越南）</w:t>
            </w:r>
            <w:r w:rsidRPr="00637F7C">
              <w:rPr>
                <w:kern w:val="0"/>
                <w:sz w:val="18"/>
                <w:szCs w:val="18"/>
              </w:rPr>
              <w:t>50</w:t>
            </w:r>
            <w:r w:rsidRPr="00637F7C">
              <w:rPr>
                <w:kern w:val="0"/>
                <w:sz w:val="18"/>
                <w:szCs w:val="18"/>
              </w:rPr>
              <w:t>万锭新型纱线项目（一期）变更为</w:t>
            </w:r>
            <w:r w:rsidRPr="00637F7C">
              <w:rPr>
                <w:kern w:val="0"/>
                <w:sz w:val="18"/>
                <w:szCs w:val="18"/>
              </w:rPr>
              <w:t>30</w:t>
            </w:r>
            <w:r w:rsidRPr="00637F7C">
              <w:rPr>
                <w:kern w:val="0"/>
                <w:sz w:val="18"/>
                <w:szCs w:val="18"/>
              </w:rPr>
              <w:t>万锭智能纺纱产业园项目（项目实施地在安徽省淮北市）</w:t>
            </w:r>
            <w:r w:rsidR="00026191" w:rsidRPr="00637F7C">
              <w:rPr>
                <w:rFonts w:ascii="宋体" w:hAnsi="宋体" w:cs="宋体" w:hint="eastAsia"/>
                <w:kern w:val="0"/>
                <w:sz w:val="18"/>
                <w:szCs w:val="18"/>
              </w:rPr>
              <w:t>。</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项目可行性发生重大变化的情况说明</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hint="eastAsia"/>
                <w:kern w:val="0"/>
                <w:sz w:val="18"/>
                <w:szCs w:val="18"/>
              </w:rPr>
              <w:t>因外部市场环境变化及受越南疫情影响，</w:t>
            </w:r>
            <w:r w:rsidR="00026191" w:rsidRPr="00637F7C">
              <w:rPr>
                <w:rFonts w:ascii="宋体" w:hAnsi="宋体" w:cs="宋体" w:hint="eastAsia"/>
                <w:kern w:val="0"/>
                <w:sz w:val="18"/>
                <w:szCs w:val="18"/>
              </w:rPr>
              <w:t>华孚（越南）50万锭新型纱线项目（一期)</w:t>
            </w:r>
            <w:r w:rsidRPr="00637F7C">
              <w:rPr>
                <w:rFonts w:hint="eastAsia"/>
                <w:kern w:val="0"/>
                <w:sz w:val="18"/>
                <w:szCs w:val="18"/>
              </w:rPr>
              <w:t>建设进度有所延缓，实施周期被动拉长，存在投资收益不达预期的风险。因此，经公司于</w:t>
            </w:r>
            <w:r w:rsidRPr="00637F7C">
              <w:rPr>
                <w:rFonts w:hint="eastAsia"/>
                <w:kern w:val="0"/>
                <w:sz w:val="18"/>
                <w:szCs w:val="18"/>
              </w:rPr>
              <w:t>2022</w:t>
            </w:r>
            <w:r w:rsidRPr="00637F7C">
              <w:rPr>
                <w:rFonts w:hint="eastAsia"/>
                <w:kern w:val="0"/>
                <w:sz w:val="18"/>
                <w:szCs w:val="18"/>
              </w:rPr>
              <w:t>年</w:t>
            </w:r>
            <w:r w:rsidRPr="00637F7C">
              <w:rPr>
                <w:rFonts w:hint="eastAsia"/>
                <w:kern w:val="0"/>
                <w:sz w:val="18"/>
                <w:szCs w:val="18"/>
              </w:rPr>
              <w:t>1</w:t>
            </w:r>
            <w:r w:rsidRPr="00637F7C">
              <w:rPr>
                <w:rFonts w:hint="eastAsia"/>
                <w:kern w:val="0"/>
                <w:sz w:val="18"/>
                <w:szCs w:val="18"/>
              </w:rPr>
              <w:t>月</w:t>
            </w:r>
            <w:r w:rsidRPr="00637F7C">
              <w:rPr>
                <w:rFonts w:hint="eastAsia"/>
                <w:kern w:val="0"/>
                <w:sz w:val="18"/>
                <w:szCs w:val="18"/>
              </w:rPr>
              <w:t>10</w:t>
            </w:r>
            <w:r w:rsidRPr="00637F7C">
              <w:rPr>
                <w:rFonts w:hint="eastAsia"/>
                <w:kern w:val="0"/>
                <w:sz w:val="18"/>
                <w:szCs w:val="18"/>
              </w:rPr>
              <w:t>日召开的</w:t>
            </w:r>
            <w:r w:rsidRPr="00637F7C">
              <w:rPr>
                <w:rFonts w:hint="eastAsia"/>
                <w:kern w:val="0"/>
                <w:sz w:val="18"/>
                <w:szCs w:val="18"/>
              </w:rPr>
              <w:t>2022</w:t>
            </w:r>
            <w:r w:rsidRPr="00637F7C">
              <w:rPr>
                <w:rFonts w:hint="eastAsia"/>
                <w:kern w:val="0"/>
                <w:sz w:val="18"/>
                <w:szCs w:val="18"/>
              </w:rPr>
              <w:t>年第一次股东大会审议通过，同意将公司</w:t>
            </w:r>
            <w:r w:rsidRPr="00637F7C">
              <w:rPr>
                <w:rFonts w:hint="eastAsia"/>
                <w:kern w:val="0"/>
                <w:sz w:val="18"/>
                <w:szCs w:val="18"/>
              </w:rPr>
              <w:t>2021</w:t>
            </w:r>
            <w:r w:rsidRPr="00637F7C">
              <w:rPr>
                <w:rFonts w:hint="eastAsia"/>
                <w:kern w:val="0"/>
                <w:sz w:val="18"/>
                <w:szCs w:val="18"/>
              </w:rPr>
              <w:t>年非公开发行股票募集资金投资项目华孚（越南）</w:t>
            </w:r>
            <w:r w:rsidRPr="00637F7C">
              <w:rPr>
                <w:rFonts w:hint="eastAsia"/>
                <w:kern w:val="0"/>
                <w:sz w:val="18"/>
                <w:szCs w:val="18"/>
              </w:rPr>
              <w:t>50</w:t>
            </w:r>
            <w:r w:rsidRPr="00637F7C">
              <w:rPr>
                <w:rFonts w:hint="eastAsia"/>
                <w:kern w:val="0"/>
                <w:sz w:val="18"/>
                <w:szCs w:val="18"/>
              </w:rPr>
              <w:t>万锭新型纱线项目（一期）变更为</w:t>
            </w:r>
            <w:r w:rsidRPr="00637F7C">
              <w:rPr>
                <w:rFonts w:hint="eastAsia"/>
                <w:kern w:val="0"/>
                <w:sz w:val="18"/>
                <w:szCs w:val="18"/>
              </w:rPr>
              <w:t>30</w:t>
            </w:r>
            <w:r w:rsidRPr="00637F7C">
              <w:rPr>
                <w:rFonts w:hint="eastAsia"/>
                <w:kern w:val="0"/>
                <w:sz w:val="18"/>
                <w:szCs w:val="18"/>
              </w:rPr>
              <w:t>万锭智能纺纱产业园项目（项目实施地在安徽省淮北市）。</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超募资金的金额、用途及使用进展情况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募集资金投资项目实施地点变更情况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募集资金投资项目实施方式调整情况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募集资金投资项目先期投入及置换情况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公司于2022年1月19日召开了第八届董事会2022年第一次临时会议和第八届监事会第二次会议,审议通过《关于使用募集资金置换先期投入自有资金的议案》,同意公司以非公开发行股票募集资金的28,272.94万元置换先期已投入相关项目的自有资金，详见公司于2022年1月21日披露在《证券时报》、《中国证券报》及巨潮资讯网(</w:t>
            </w:r>
            <w:hyperlink r:id="rId11" w:history="1">
              <w:r w:rsidRPr="00637F7C">
                <w:rPr>
                  <w:rFonts w:ascii="宋体" w:hAnsi="宋体" w:cs="宋体" w:hint="eastAsia"/>
                  <w:kern w:val="0"/>
                  <w:sz w:val="18"/>
                  <w:szCs w:val="18"/>
                </w:rPr>
                <w:t>http://www.cninfo.com.cn</w:t>
              </w:r>
            </w:hyperlink>
            <w:r w:rsidRPr="00637F7C">
              <w:rPr>
                <w:rFonts w:ascii="宋体" w:hAnsi="宋体" w:cs="宋体" w:hint="eastAsia"/>
                <w:kern w:val="0"/>
                <w:sz w:val="18"/>
                <w:szCs w:val="18"/>
              </w:rPr>
              <w:t>)上的《关于使用募集资金置换先期投入自有资金的公告》。</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用闲置募集资金暂时补充流动资金情况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项目实施出现募集资金结余的金额及原因</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r w:rsidR="00D320A2"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尚未使用的募集资金用途及去向</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截至</w:t>
            </w:r>
            <w:r w:rsidRPr="00637F7C">
              <w:rPr>
                <w:rFonts w:ascii="宋体" w:hAnsi="宋体" w:cs="宋体"/>
                <w:kern w:val="0"/>
                <w:sz w:val="18"/>
                <w:szCs w:val="18"/>
              </w:rPr>
              <w:t>2022</w:t>
            </w:r>
            <w:r w:rsidRPr="00637F7C">
              <w:rPr>
                <w:rFonts w:ascii="宋体" w:hAnsi="宋体" w:cs="宋体" w:hint="eastAsia"/>
                <w:kern w:val="0"/>
                <w:sz w:val="18"/>
                <w:szCs w:val="18"/>
              </w:rPr>
              <w:t>年</w:t>
            </w:r>
            <w:r w:rsidRPr="00637F7C">
              <w:rPr>
                <w:rFonts w:ascii="宋体" w:hAnsi="宋体" w:cs="宋体"/>
                <w:kern w:val="0"/>
                <w:sz w:val="18"/>
                <w:szCs w:val="18"/>
              </w:rPr>
              <w:t>06</w:t>
            </w:r>
            <w:r w:rsidRPr="00637F7C">
              <w:rPr>
                <w:rFonts w:ascii="宋体" w:hAnsi="宋体" w:cs="宋体" w:hint="eastAsia"/>
                <w:kern w:val="0"/>
                <w:sz w:val="18"/>
                <w:szCs w:val="18"/>
              </w:rPr>
              <w:t>月</w:t>
            </w:r>
            <w:r w:rsidRPr="00637F7C">
              <w:rPr>
                <w:rFonts w:ascii="宋体" w:hAnsi="宋体" w:cs="宋体"/>
                <w:kern w:val="0"/>
                <w:sz w:val="18"/>
                <w:szCs w:val="18"/>
              </w:rPr>
              <w:t>30</w:t>
            </w:r>
            <w:r w:rsidRPr="00637F7C">
              <w:rPr>
                <w:rFonts w:ascii="宋体" w:hAnsi="宋体" w:cs="宋体" w:hint="eastAsia"/>
                <w:kern w:val="0"/>
                <w:sz w:val="18"/>
                <w:szCs w:val="18"/>
              </w:rPr>
              <w:t>日，公司尚未使用的募集资金均存放在公司募集资金专户和募集资金现金管理专户。</w:t>
            </w:r>
          </w:p>
        </w:tc>
      </w:tr>
      <w:tr w:rsidR="00073353" w:rsidRPr="00637F7C">
        <w:tblPrEx>
          <w:tblCellMar>
            <w:left w:w="108" w:type="dxa"/>
            <w:right w:w="108" w:type="dxa"/>
          </w:tblCellMar>
        </w:tblPrEx>
        <w:trPr>
          <w:trHeight w:val="340"/>
        </w:trPr>
        <w:tc>
          <w:tcPr>
            <w:tcW w:w="2268" w:type="dxa"/>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募集资金使用及披露中存在的问题或其他情况</w:t>
            </w:r>
          </w:p>
        </w:tc>
        <w:tc>
          <w:tcPr>
            <w:tcW w:w="11792" w:type="dxa"/>
            <w:gridSpan w:val="11"/>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无</w:t>
            </w:r>
          </w:p>
        </w:tc>
      </w:tr>
    </w:tbl>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486E85" w:rsidRPr="00637F7C" w:rsidRDefault="00486E85">
      <w:pPr>
        <w:tabs>
          <w:tab w:val="left" w:pos="4253"/>
          <w:tab w:val="left" w:pos="4678"/>
        </w:tabs>
        <w:snapToGrid w:val="0"/>
        <w:spacing w:line="360" w:lineRule="auto"/>
        <w:ind w:right="630"/>
        <w:jc w:val="left"/>
        <w:rPr>
          <w:rFonts w:ascii="宋体" w:hAnsi="宋体"/>
          <w:b/>
          <w:szCs w:val="21"/>
        </w:rPr>
      </w:pPr>
    </w:p>
    <w:p w:rsidR="00486E85" w:rsidRPr="00637F7C" w:rsidRDefault="00486E85">
      <w:pPr>
        <w:tabs>
          <w:tab w:val="left" w:pos="4253"/>
          <w:tab w:val="left" w:pos="4678"/>
        </w:tabs>
        <w:snapToGrid w:val="0"/>
        <w:spacing w:line="360" w:lineRule="auto"/>
        <w:ind w:right="630"/>
        <w:jc w:val="left"/>
        <w:rPr>
          <w:rFonts w:ascii="宋体" w:hAnsi="宋体"/>
          <w:b/>
          <w:szCs w:val="21"/>
        </w:rPr>
      </w:pPr>
    </w:p>
    <w:p w:rsidR="00486E85" w:rsidRPr="00637F7C" w:rsidRDefault="00486E85">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073353">
      <w:pPr>
        <w:tabs>
          <w:tab w:val="left" w:pos="4253"/>
          <w:tab w:val="left" w:pos="4678"/>
        </w:tabs>
        <w:snapToGrid w:val="0"/>
        <w:spacing w:line="360" w:lineRule="auto"/>
        <w:ind w:right="630"/>
        <w:jc w:val="left"/>
        <w:rPr>
          <w:rFonts w:ascii="宋体" w:hAnsi="宋体"/>
          <w:b/>
          <w:szCs w:val="21"/>
        </w:rPr>
      </w:pPr>
    </w:p>
    <w:p w:rsidR="00073353" w:rsidRPr="00637F7C" w:rsidRDefault="00411497">
      <w:pPr>
        <w:tabs>
          <w:tab w:val="left" w:pos="4253"/>
          <w:tab w:val="left" w:pos="4678"/>
        </w:tabs>
        <w:snapToGrid w:val="0"/>
        <w:spacing w:line="360" w:lineRule="auto"/>
        <w:ind w:right="630"/>
        <w:jc w:val="left"/>
        <w:rPr>
          <w:rFonts w:ascii="宋体" w:hAnsi="宋体"/>
          <w:b/>
          <w:szCs w:val="21"/>
        </w:rPr>
      </w:pPr>
      <w:r w:rsidRPr="00637F7C">
        <w:rPr>
          <w:rFonts w:ascii="宋体" w:hAnsi="宋体" w:hint="eastAsia"/>
          <w:b/>
          <w:szCs w:val="21"/>
        </w:rPr>
        <w:t>附件</w:t>
      </w:r>
      <w:r w:rsidRPr="00637F7C">
        <w:rPr>
          <w:rFonts w:ascii="宋体" w:hAnsi="宋体"/>
          <w:b/>
          <w:szCs w:val="21"/>
        </w:rPr>
        <w:t>2</w:t>
      </w:r>
    </w:p>
    <w:p w:rsidR="00073353" w:rsidRPr="00637F7C" w:rsidRDefault="00411497">
      <w:pPr>
        <w:snapToGrid w:val="0"/>
        <w:spacing w:line="360" w:lineRule="auto"/>
        <w:jc w:val="center"/>
        <w:rPr>
          <w:rFonts w:ascii="宋体" w:hAnsi="宋体"/>
          <w:b/>
          <w:sz w:val="30"/>
          <w:szCs w:val="30"/>
        </w:rPr>
      </w:pPr>
      <w:r w:rsidRPr="00637F7C">
        <w:rPr>
          <w:rFonts w:ascii="宋体" w:hAnsi="宋体" w:hint="eastAsia"/>
          <w:b/>
          <w:sz w:val="30"/>
          <w:szCs w:val="30"/>
        </w:rPr>
        <w:t>变更募集资金投资项目情况表</w:t>
      </w:r>
    </w:p>
    <w:p w:rsidR="00073353" w:rsidRPr="00637F7C" w:rsidRDefault="00411497">
      <w:pPr>
        <w:snapToGrid w:val="0"/>
        <w:spacing w:line="360" w:lineRule="auto"/>
        <w:ind w:rightChars="-84" w:right="-176"/>
        <w:jc w:val="right"/>
        <w:rPr>
          <w:rFonts w:ascii="宋体" w:hAnsi="宋体"/>
          <w:szCs w:val="21"/>
        </w:rPr>
      </w:pPr>
      <w:r w:rsidRPr="00637F7C">
        <w:rPr>
          <w:rFonts w:ascii="宋体" w:hAnsi="宋体" w:hint="eastAsia"/>
          <w:szCs w:val="21"/>
        </w:rPr>
        <w:t xml:space="preserve">　　　                　　　　　　　　单位：万元</w:t>
      </w:r>
    </w:p>
    <w:tbl>
      <w:tblPr>
        <w:tblW w:w="5000" w:type="pct"/>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245"/>
        <w:gridCol w:w="1246"/>
        <w:gridCol w:w="1246"/>
        <w:gridCol w:w="1246"/>
        <w:gridCol w:w="1251"/>
        <w:gridCol w:w="1743"/>
        <w:gridCol w:w="1544"/>
        <w:gridCol w:w="1288"/>
        <w:gridCol w:w="1544"/>
        <w:gridCol w:w="1707"/>
      </w:tblGrid>
      <w:tr w:rsidR="00D320A2" w:rsidRPr="00637F7C" w:rsidTr="00486E85">
        <w:tc>
          <w:tcPr>
            <w:tcW w:w="443"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变更后的项目</w:t>
            </w:r>
          </w:p>
        </w:tc>
        <w:tc>
          <w:tcPr>
            <w:tcW w:w="443"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对应的原承诺项目</w:t>
            </w:r>
          </w:p>
        </w:tc>
        <w:tc>
          <w:tcPr>
            <w:tcW w:w="443"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变更后项目拟投入募集资金总额（</w:t>
            </w:r>
            <w:r w:rsidRPr="00637F7C">
              <w:rPr>
                <w:rFonts w:ascii="宋体" w:hAnsi="宋体" w:cs="宋体"/>
                <w:kern w:val="0"/>
                <w:sz w:val="18"/>
                <w:szCs w:val="18"/>
              </w:rPr>
              <w:t>1</w:t>
            </w:r>
            <w:r w:rsidRPr="00637F7C">
              <w:rPr>
                <w:rFonts w:ascii="宋体" w:hAnsi="宋体" w:cs="宋体" w:hint="eastAsia"/>
                <w:kern w:val="0"/>
                <w:sz w:val="18"/>
                <w:szCs w:val="18"/>
              </w:rPr>
              <w:t>）</w:t>
            </w:r>
          </w:p>
        </w:tc>
        <w:tc>
          <w:tcPr>
            <w:tcW w:w="443"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本年度实际投入金额</w:t>
            </w:r>
          </w:p>
        </w:tc>
        <w:tc>
          <w:tcPr>
            <w:tcW w:w="445"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截至期末实际累计投入金额（</w:t>
            </w:r>
            <w:r w:rsidRPr="00637F7C">
              <w:rPr>
                <w:rFonts w:ascii="宋体" w:hAnsi="宋体" w:cs="宋体"/>
                <w:kern w:val="0"/>
                <w:sz w:val="18"/>
                <w:szCs w:val="18"/>
              </w:rPr>
              <w:t>2</w:t>
            </w:r>
            <w:r w:rsidRPr="00637F7C">
              <w:rPr>
                <w:rFonts w:ascii="宋体" w:hAnsi="宋体" w:cs="宋体" w:hint="eastAsia"/>
                <w:kern w:val="0"/>
                <w:sz w:val="18"/>
                <w:szCs w:val="18"/>
              </w:rPr>
              <w:t>）</w:t>
            </w:r>
          </w:p>
        </w:tc>
        <w:tc>
          <w:tcPr>
            <w:tcW w:w="620"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截至期末投资进度（</w:t>
            </w:r>
            <w:r w:rsidRPr="00637F7C">
              <w:rPr>
                <w:rFonts w:ascii="宋体" w:hAnsi="宋体" w:cs="宋体"/>
                <w:kern w:val="0"/>
                <w:sz w:val="18"/>
                <w:szCs w:val="18"/>
              </w:rPr>
              <w:t>%</w:t>
            </w:r>
            <w:r w:rsidRPr="00637F7C">
              <w:rPr>
                <w:rFonts w:ascii="宋体" w:hAnsi="宋体" w:cs="宋体" w:hint="eastAsia"/>
                <w:kern w:val="0"/>
                <w:sz w:val="18"/>
                <w:szCs w:val="18"/>
              </w:rPr>
              <w:t>）（</w:t>
            </w:r>
            <w:r w:rsidRPr="00637F7C">
              <w:rPr>
                <w:rFonts w:ascii="宋体" w:hAnsi="宋体" w:cs="宋体"/>
                <w:kern w:val="0"/>
                <w:sz w:val="18"/>
                <w:szCs w:val="18"/>
              </w:rPr>
              <w:t>3</w:t>
            </w:r>
            <w:r w:rsidRPr="00637F7C">
              <w:rPr>
                <w:rFonts w:ascii="宋体" w:hAnsi="宋体" w:cs="宋体" w:hint="eastAsia"/>
                <w:kern w:val="0"/>
                <w:sz w:val="18"/>
                <w:szCs w:val="18"/>
              </w:rPr>
              <w:t>）=（</w:t>
            </w:r>
            <w:r w:rsidRPr="00637F7C">
              <w:rPr>
                <w:rFonts w:ascii="宋体" w:hAnsi="宋体" w:cs="宋体"/>
                <w:kern w:val="0"/>
                <w:sz w:val="18"/>
                <w:szCs w:val="18"/>
              </w:rPr>
              <w:t>2</w:t>
            </w:r>
            <w:r w:rsidRPr="00637F7C">
              <w:rPr>
                <w:rFonts w:ascii="宋体" w:hAnsi="宋体" w:cs="宋体" w:hint="eastAsia"/>
                <w:kern w:val="0"/>
                <w:sz w:val="18"/>
                <w:szCs w:val="18"/>
              </w:rPr>
              <w:t>）/（</w:t>
            </w:r>
            <w:r w:rsidRPr="00637F7C">
              <w:rPr>
                <w:rFonts w:ascii="宋体" w:hAnsi="宋体" w:cs="宋体"/>
                <w:kern w:val="0"/>
                <w:sz w:val="18"/>
                <w:szCs w:val="18"/>
              </w:rPr>
              <w:t>1</w:t>
            </w:r>
            <w:r w:rsidRPr="00637F7C">
              <w:rPr>
                <w:rFonts w:ascii="宋体" w:hAnsi="宋体" w:cs="宋体" w:hint="eastAsia"/>
                <w:kern w:val="0"/>
                <w:sz w:val="18"/>
                <w:szCs w:val="18"/>
              </w:rPr>
              <w:t>）</w:t>
            </w:r>
          </w:p>
        </w:tc>
        <w:tc>
          <w:tcPr>
            <w:tcW w:w="549" w:type="pct"/>
            <w:tcBorders>
              <w:bottom w:val="dotted" w:sz="4" w:space="0" w:color="auto"/>
            </w:tcBorders>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项目达到预定可使用状态日期</w:t>
            </w:r>
          </w:p>
        </w:tc>
        <w:tc>
          <w:tcPr>
            <w:tcW w:w="458"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本年度实现的效益</w:t>
            </w:r>
          </w:p>
        </w:tc>
        <w:tc>
          <w:tcPr>
            <w:tcW w:w="549"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是否达到预计效益</w:t>
            </w:r>
          </w:p>
        </w:tc>
        <w:tc>
          <w:tcPr>
            <w:tcW w:w="607"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hint="eastAsia"/>
                <w:kern w:val="0"/>
                <w:sz w:val="18"/>
                <w:szCs w:val="18"/>
              </w:rPr>
              <w:t>变更后的项目可行性是否发生重大变化</w:t>
            </w:r>
          </w:p>
        </w:tc>
      </w:tr>
      <w:tr w:rsidR="00D320A2" w:rsidRPr="00637F7C" w:rsidTr="00C0533E">
        <w:trPr>
          <w:trHeight w:val="600"/>
        </w:trPr>
        <w:tc>
          <w:tcPr>
            <w:tcW w:w="443" w:type="pct"/>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kern w:val="0"/>
                <w:sz w:val="18"/>
                <w:szCs w:val="18"/>
              </w:rPr>
              <w:t>30万锭智能纺纱产业园项目</w:t>
            </w:r>
          </w:p>
        </w:tc>
        <w:tc>
          <w:tcPr>
            <w:tcW w:w="443" w:type="pct"/>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kern w:val="0"/>
                <w:sz w:val="18"/>
                <w:szCs w:val="18"/>
              </w:rPr>
              <w:t>华孚（越南）50万锭新型纱线项目（一期）</w:t>
            </w:r>
          </w:p>
        </w:tc>
        <w:tc>
          <w:tcPr>
            <w:tcW w:w="443" w:type="pct"/>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kern w:val="0"/>
                <w:sz w:val="18"/>
                <w:szCs w:val="18"/>
              </w:rPr>
              <w:t>79,018.55</w:t>
            </w:r>
          </w:p>
        </w:tc>
        <w:tc>
          <w:tcPr>
            <w:tcW w:w="443" w:type="pct"/>
            <w:shd w:val="clear" w:color="auto" w:fill="auto"/>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kern w:val="0"/>
                <w:sz w:val="18"/>
                <w:szCs w:val="18"/>
              </w:rPr>
              <w:t>34,676.6</w:t>
            </w:r>
          </w:p>
        </w:tc>
        <w:tc>
          <w:tcPr>
            <w:tcW w:w="445" w:type="pct"/>
            <w:shd w:val="clear" w:color="auto" w:fill="auto"/>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kern w:val="0"/>
                <w:sz w:val="18"/>
                <w:szCs w:val="18"/>
              </w:rPr>
              <w:t>34,676.6</w:t>
            </w:r>
          </w:p>
        </w:tc>
        <w:tc>
          <w:tcPr>
            <w:tcW w:w="620" w:type="pct"/>
            <w:shd w:val="clear" w:color="auto" w:fill="auto"/>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kern w:val="0"/>
                <w:sz w:val="18"/>
                <w:szCs w:val="18"/>
              </w:rPr>
              <w:t>44.00%</w:t>
            </w:r>
          </w:p>
        </w:tc>
        <w:tc>
          <w:tcPr>
            <w:tcW w:w="549" w:type="pct"/>
            <w:tcBorders>
              <w:top w:val="dotted" w:sz="4" w:space="0" w:color="auto"/>
              <w:bottom w:val="dotted" w:sz="4" w:space="0" w:color="auto"/>
            </w:tcBorders>
            <w:shd w:val="clear" w:color="auto" w:fill="auto"/>
            <w:vAlign w:val="center"/>
          </w:tcPr>
          <w:p w:rsidR="00073353" w:rsidRPr="00637F7C" w:rsidRDefault="00C0533E" w:rsidP="00C0533E">
            <w:pPr>
              <w:widowControl/>
              <w:snapToGrid w:val="0"/>
              <w:jc w:val="right"/>
              <w:rPr>
                <w:rFonts w:ascii="宋体" w:hAnsi="宋体" w:cs="宋体"/>
                <w:kern w:val="0"/>
                <w:sz w:val="18"/>
                <w:szCs w:val="18"/>
              </w:rPr>
            </w:pPr>
            <w:r w:rsidRPr="00637F7C">
              <w:rPr>
                <w:rFonts w:ascii="宋体" w:hAnsi="宋体" w:cs="宋体"/>
                <w:kern w:val="0"/>
                <w:sz w:val="18"/>
                <w:szCs w:val="18"/>
              </w:rPr>
              <w:t>-</w:t>
            </w:r>
          </w:p>
        </w:tc>
        <w:tc>
          <w:tcPr>
            <w:tcW w:w="458" w:type="pct"/>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kern w:val="0"/>
                <w:sz w:val="18"/>
                <w:szCs w:val="18"/>
              </w:rPr>
              <w:t>624</w:t>
            </w:r>
          </w:p>
        </w:tc>
        <w:tc>
          <w:tcPr>
            <w:tcW w:w="549"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kern w:val="0"/>
                <w:sz w:val="18"/>
                <w:szCs w:val="18"/>
              </w:rPr>
              <w:t>是</w:t>
            </w:r>
          </w:p>
        </w:tc>
        <w:tc>
          <w:tcPr>
            <w:tcW w:w="607"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kern w:val="0"/>
                <w:sz w:val="18"/>
                <w:szCs w:val="18"/>
              </w:rPr>
              <w:t>否</w:t>
            </w:r>
          </w:p>
        </w:tc>
      </w:tr>
      <w:tr w:rsidR="00D320A2" w:rsidRPr="00637F7C" w:rsidTr="00C0533E">
        <w:trPr>
          <w:trHeight w:val="600"/>
        </w:trPr>
        <w:tc>
          <w:tcPr>
            <w:tcW w:w="443" w:type="pct"/>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合计</w:t>
            </w:r>
          </w:p>
        </w:tc>
        <w:tc>
          <w:tcPr>
            <w:tcW w:w="443" w:type="pct"/>
            <w:shd w:val="clear" w:color="auto" w:fill="auto"/>
            <w:vAlign w:val="center"/>
          </w:tcPr>
          <w:p w:rsidR="00073353" w:rsidRPr="00637F7C" w:rsidRDefault="00411497" w:rsidP="00C0533E">
            <w:pPr>
              <w:widowControl/>
              <w:snapToGrid w:val="0"/>
              <w:jc w:val="right"/>
              <w:rPr>
                <w:rFonts w:ascii="宋体" w:hAnsi="宋体" w:cs="宋体"/>
                <w:kern w:val="0"/>
                <w:sz w:val="18"/>
                <w:szCs w:val="18"/>
              </w:rPr>
            </w:pPr>
            <w:r w:rsidRPr="00637F7C">
              <w:rPr>
                <w:rFonts w:ascii="宋体" w:hAnsi="宋体" w:cs="宋体"/>
                <w:kern w:val="0"/>
                <w:sz w:val="18"/>
                <w:szCs w:val="18"/>
              </w:rPr>
              <w:t>-</w:t>
            </w:r>
          </w:p>
        </w:tc>
        <w:tc>
          <w:tcPr>
            <w:tcW w:w="443" w:type="pct"/>
            <w:shd w:val="clear" w:color="auto" w:fill="auto"/>
            <w:vAlign w:val="center"/>
          </w:tcPr>
          <w:p w:rsidR="00073353" w:rsidRPr="00637F7C" w:rsidRDefault="00411497">
            <w:pPr>
              <w:widowControl/>
              <w:snapToGrid w:val="0"/>
              <w:spacing w:line="240" w:lineRule="exact"/>
              <w:jc w:val="left"/>
              <w:rPr>
                <w:rFonts w:ascii="宋体" w:hAnsi="宋体" w:cs="宋体"/>
                <w:kern w:val="0"/>
                <w:sz w:val="18"/>
                <w:szCs w:val="18"/>
              </w:rPr>
            </w:pPr>
            <w:r w:rsidRPr="00637F7C">
              <w:rPr>
                <w:rFonts w:ascii="宋体" w:hAnsi="宋体" w:cs="宋体"/>
                <w:kern w:val="0"/>
                <w:sz w:val="18"/>
                <w:szCs w:val="18"/>
              </w:rPr>
              <w:t>79,018.55</w:t>
            </w:r>
            <w:bookmarkStart w:id="0" w:name="_GoBack"/>
            <w:bookmarkEnd w:id="0"/>
          </w:p>
        </w:tc>
        <w:tc>
          <w:tcPr>
            <w:tcW w:w="443" w:type="pct"/>
            <w:shd w:val="clear" w:color="auto" w:fill="auto"/>
            <w:vAlign w:val="center"/>
          </w:tcPr>
          <w:p w:rsidR="00073353" w:rsidRPr="00637F7C" w:rsidRDefault="00411497">
            <w:pPr>
              <w:widowControl/>
              <w:snapToGrid w:val="0"/>
              <w:spacing w:line="240" w:lineRule="exact"/>
              <w:jc w:val="right"/>
              <w:rPr>
                <w:rFonts w:ascii="宋体" w:hAnsi="宋体" w:cs="宋体"/>
                <w:kern w:val="0"/>
                <w:sz w:val="18"/>
                <w:szCs w:val="18"/>
              </w:rPr>
            </w:pPr>
            <w:r w:rsidRPr="00637F7C">
              <w:rPr>
                <w:rFonts w:ascii="宋体" w:hAnsi="宋体" w:cs="宋体"/>
                <w:kern w:val="0"/>
                <w:sz w:val="18"/>
                <w:szCs w:val="18"/>
              </w:rPr>
              <w:t>34,676.6</w:t>
            </w:r>
          </w:p>
        </w:tc>
        <w:tc>
          <w:tcPr>
            <w:tcW w:w="445" w:type="pct"/>
            <w:shd w:val="clear" w:color="auto" w:fill="auto"/>
            <w:vAlign w:val="center"/>
          </w:tcPr>
          <w:p w:rsidR="00073353" w:rsidRPr="00637F7C" w:rsidRDefault="00411497">
            <w:pPr>
              <w:widowControl/>
              <w:snapToGrid w:val="0"/>
              <w:spacing w:line="240" w:lineRule="exact"/>
              <w:jc w:val="right"/>
              <w:rPr>
                <w:rFonts w:ascii="宋体" w:hAnsi="宋体" w:cs="宋体"/>
                <w:kern w:val="0"/>
                <w:sz w:val="18"/>
                <w:szCs w:val="18"/>
              </w:rPr>
            </w:pPr>
            <w:r w:rsidRPr="00637F7C">
              <w:rPr>
                <w:rFonts w:ascii="宋体" w:hAnsi="宋体" w:cs="宋体"/>
                <w:kern w:val="0"/>
                <w:sz w:val="18"/>
                <w:szCs w:val="18"/>
              </w:rPr>
              <w:t>34,676.6</w:t>
            </w:r>
          </w:p>
        </w:tc>
        <w:tc>
          <w:tcPr>
            <w:tcW w:w="620" w:type="pct"/>
            <w:shd w:val="clear" w:color="auto" w:fill="auto"/>
            <w:vAlign w:val="center"/>
          </w:tcPr>
          <w:p w:rsidR="00073353" w:rsidRPr="00637F7C" w:rsidRDefault="00411497">
            <w:pPr>
              <w:widowControl/>
              <w:snapToGrid w:val="0"/>
              <w:jc w:val="right"/>
              <w:rPr>
                <w:rFonts w:ascii="宋体" w:hAnsi="宋体" w:cs="宋体"/>
                <w:kern w:val="0"/>
                <w:sz w:val="18"/>
                <w:szCs w:val="18"/>
              </w:rPr>
            </w:pPr>
            <w:r w:rsidRPr="00637F7C">
              <w:rPr>
                <w:rFonts w:ascii="宋体" w:hAnsi="宋体" w:cs="宋体"/>
                <w:kern w:val="0"/>
                <w:sz w:val="18"/>
                <w:szCs w:val="18"/>
              </w:rPr>
              <w:t>-</w:t>
            </w:r>
          </w:p>
        </w:tc>
        <w:tc>
          <w:tcPr>
            <w:tcW w:w="549" w:type="pct"/>
            <w:tcBorders>
              <w:top w:val="dotted" w:sz="4" w:space="0" w:color="auto"/>
            </w:tcBorders>
            <w:shd w:val="clear" w:color="auto" w:fill="auto"/>
            <w:vAlign w:val="center"/>
          </w:tcPr>
          <w:p w:rsidR="00073353" w:rsidRPr="00637F7C" w:rsidRDefault="00411497" w:rsidP="00C0533E">
            <w:pPr>
              <w:widowControl/>
              <w:snapToGrid w:val="0"/>
              <w:jc w:val="right"/>
              <w:rPr>
                <w:rFonts w:ascii="宋体" w:hAnsi="宋体" w:cs="宋体"/>
                <w:kern w:val="0"/>
                <w:sz w:val="18"/>
                <w:szCs w:val="18"/>
              </w:rPr>
            </w:pPr>
            <w:r w:rsidRPr="00637F7C">
              <w:rPr>
                <w:rFonts w:ascii="宋体" w:hAnsi="宋体" w:cs="宋体"/>
                <w:kern w:val="0"/>
                <w:sz w:val="18"/>
                <w:szCs w:val="18"/>
              </w:rPr>
              <w:t>-</w:t>
            </w:r>
          </w:p>
        </w:tc>
        <w:tc>
          <w:tcPr>
            <w:tcW w:w="458" w:type="pct"/>
            <w:shd w:val="clear" w:color="auto" w:fill="auto"/>
            <w:vAlign w:val="center"/>
          </w:tcPr>
          <w:p w:rsidR="00073353" w:rsidRPr="00637F7C" w:rsidRDefault="00411497">
            <w:pPr>
              <w:widowControl/>
              <w:snapToGrid w:val="0"/>
              <w:spacing w:line="240" w:lineRule="exact"/>
              <w:jc w:val="left"/>
              <w:rPr>
                <w:rFonts w:ascii="宋体" w:hAnsi="宋体" w:cs="宋体"/>
                <w:kern w:val="0"/>
                <w:sz w:val="18"/>
                <w:szCs w:val="18"/>
              </w:rPr>
            </w:pPr>
            <w:r w:rsidRPr="00637F7C">
              <w:rPr>
                <w:rFonts w:ascii="宋体" w:hAnsi="宋体" w:cs="宋体"/>
                <w:kern w:val="0"/>
                <w:sz w:val="18"/>
                <w:szCs w:val="18"/>
              </w:rPr>
              <w:t>624</w:t>
            </w:r>
          </w:p>
        </w:tc>
        <w:tc>
          <w:tcPr>
            <w:tcW w:w="549"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kern w:val="0"/>
                <w:sz w:val="18"/>
                <w:szCs w:val="18"/>
              </w:rPr>
              <w:t>-</w:t>
            </w:r>
          </w:p>
        </w:tc>
        <w:tc>
          <w:tcPr>
            <w:tcW w:w="607" w:type="pct"/>
            <w:shd w:val="clear" w:color="auto" w:fill="auto"/>
            <w:vAlign w:val="center"/>
          </w:tcPr>
          <w:p w:rsidR="00073353" w:rsidRPr="00637F7C" w:rsidRDefault="00411497">
            <w:pPr>
              <w:widowControl/>
              <w:snapToGrid w:val="0"/>
              <w:jc w:val="center"/>
              <w:rPr>
                <w:rFonts w:ascii="宋体" w:hAnsi="宋体" w:cs="宋体"/>
                <w:kern w:val="0"/>
                <w:sz w:val="18"/>
                <w:szCs w:val="18"/>
              </w:rPr>
            </w:pPr>
            <w:r w:rsidRPr="00637F7C">
              <w:rPr>
                <w:rFonts w:ascii="宋体" w:hAnsi="宋体" w:cs="宋体"/>
                <w:kern w:val="0"/>
                <w:sz w:val="18"/>
                <w:szCs w:val="18"/>
              </w:rPr>
              <w:t>-</w:t>
            </w:r>
          </w:p>
        </w:tc>
      </w:tr>
      <w:tr w:rsidR="00D320A2" w:rsidRPr="00637F7C">
        <w:trPr>
          <w:trHeight w:val="657"/>
        </w:trPr>
        <w:tc>
          <w:tcPr>
            <w:tcW w:w="1329" w:type="pct"/>
            <w:gridSpan w:val="3"/>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变更原因、决策程序及信息披露情况说明（</w:t>
            </w:r>
            <w:proofErr w:type="gramStart"/>
            <w:r w:rsidRPr="00637F7C">
              <w:rPr>
                <w:rFonts w:ascii="宋体" w:hAnsi="宋体" w:cs="宋体" w:hint="eastAsia"/>
                <w:kern w:val="0"/>
                <w:sz w:val="18"/>
                <w:szCs w:val="18"/>
              </w:rPr>
              <w:t>分具体</w:t>
            </w:r>
            <w:proofErr w:type="gramEnd"/>
            <w:r w:rsidRPr="00637F7C">
              <w:rPr>
                <w:rFonts w:ascii="宋体" w:hAnsi="宋体" w:cs="宋体" w:hint="eastAsia"/>
                <w:kern w:val="0"/>
                <w:sz w:val="18"/>
                <w:szCs w:val="18"/>
              </w:rPr>
              <w:t>项目）</w:t>
            </w:r>
          </w:p>
        </w:tc>
        <w:tc>
          <w:tcPr>
            <w:tcW w:w="3671" w:type="pct"/>
            <w:gridSpan w:val="7"/>
            <w:shd w:val="clear" w:color="auto" w:fill="auto"/>
            <w:vAlign w:val="center"/>
          </w:tcPr>
          <w:p w:rsidR="00073353" w:rsidRPr="00637F7C" w:rsidRDefault="00411497">
            <w:pPr>
              <w:widowControl/>
              <w:snapToGrid w:val="0"/>
              <w:spacing w:line="240" w:lineRule="exact"/>
              <w:jc w:val="left"/>
              <w:rPr>
                <w:rFonts w:ascii="宋体" w:hAnsi="宋体" w:cs="宋体"/>
                <w:kern w:val="0"/>
                <w:sz w:val="18"/>
                <w:szCs w:val="18"/>
              </w:rPr>
            </w:pPr>
            <w:r w:rsidRPr="00637F7C">
              <w:rPr>
                <w:rFonts w:ascii="宋体" w:hAnsi="宋体" w:cs="宋体"/>
                <w:kern w:val="0"/>
                <w:sz w:val="18"/>
                <w:szCs w:val="18"/>
              </w:rPr>
              <w:t>因外部市场环境变化及受越南疫情影响，</w:t>
            </w:r>
            <w:r w:rsidRPr="00637F7C">
              <w:rPr>
                <w:rFonts w:ascii="宋体" w:hAnsi="宋体" w:cs="宋体" w:hint="eastAsia"/>
                <w:kern w:val="0"/>
                <w:sz w:val="18"/>
                <w:szCs w:val="18"/>
              </w:rPr>
              <w:t>原</w:t>
            </w:r>
            <w:r w:rsidRPr="00637F7C">
              <w:rPr>
                <w:rFonts w:ascii="宋体" w:hAnsi="宋体" w:cs="宋体"/>
                <w:kern w:val="0"/>
                <w:sz w:val="18"/>
                <w:szCs w:val="18"/>
              </w:rPr>
              <w:t>项目建设进度有所延缓，实施周期被动拉长，存在投资收益不达预期的风险。因此，经公司于 2022年1 月10日召开的2022年第一次股东大会审议通过，同意将公司2021年非公开发行股票募集资金投资项目华孚（越南）50 万锭新型纱线项目（一期）变更为30万锭智能纺纱产业园项目（项目实施地在安徽省淮北市）。</w:t>
            </w:r>
          </w:p>
        </w:tc>
      </w:tr>
      <w:tr w:rsidR="00D320A2" w:rsidRPr="00637F7C">
        <w:trPr>
          <w:trHeight w:val="214"/>
        </w:trPr>
        <w:tc>
          <w:tcPr>
            <w:tcW w:w="1329" w:type="pct"/>
            <w:gridSpan w:val="3"/>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未达到计划进度或预计收益的情况和原因（</w:t>
            </w:r>
            <w:proofErr w:type="gramStart"/>
            <w:r w:rsidRPr="00637F7C">
              <w:rPr>
                <w:rFonts w:ascii="宋体" w:hAnsi="宋体" w:cs="宋体" w:hint="eastAsia"/>
                <w:kern w:val="0"/>
                <w:sz w:val="18"/>
                <w:szCs w:val="18"/>
              </w:rPr>
              <w:t>分具体</w:t>
            </w:r>
            <w:proofErr w:type="gramEnd"/>
            <w:r w:rsidRPr="00637F7C">
              <w:rPr>
                <w:rFonts w:ascii="宋体" w:hAnsi="宋体" w:cs="宋体" w:hint="eastAsia"/>
                <w:kern w:val="0"/>
                <w:sz w:val="18"/>
                <w:szCs w:val="18"/>
              </w:rPr>
              <w:t>项目）</w:t>
            </w:r>
          </w:p>
        </w:tc>
        <w:tc>
          <w:tcPr>
            <w:tcW w:w="3671" w:type="pct"/>
            <w:gridSpan w:val="7"/>
            <w:shd w:val="clear" w:color="auto" w:fill="auto"/>
            <w:vAlign w:val="center"/>
          </w:tcPr>
          <w:p w:rsidR="00073353" w:rsidRPr="00637F7C" w:rsidRDefault="00411497">
            <w:pPr>
              <w:widowControl/>
              <w:snapToGrid w:val="0"/>
              <w:spacing w:line="240" w:lineRule="exact"/>
              <w:jc w:val="left"/>
              <w:rPr>
                <w:rFonts w:ascii="宋体" w:hAnsi="宋体" w:cs="宋体"/>
                <w:kern w:val="0"/>
                <w:sz w:val="18"/>
                <w:szCs w:val="18"/>
              </w:rPr>
            </w:pPr>
            <w:r w:rsidRPr="00637F7C">
              <w:rPr>
                <w:rFonts w:ascii="宋体" w:hAnsi="宋体" w:cs="宋体"/>
                <w:kern w:val="0"/>
                <w:sz w:val="18"/>
                <w:szCs w:val="18"/>
              </w:rPr>
              <w:t>不适用</w:t>
            </w:r>
          </w:p>
        </w:tc>
      </w:tr>
      <w:tr w:rsidR="00073353" w:rsidRPr="00D320A2">
        <w:trPr>
          <w:trHeight w:val="70"/>
        </w:trPr>
        <w:tc>
          <w:tcPr>
            <w:tcW w:w="1329" w:type="pct"/>
            <w:gridSpan w:val="3"/>
            <w:shd w:val="clear" w:color="auto" w:fill="auto"/>
            <w:vAlign w:val="center"/>
          </w:tcPr>
          <w:p w:rsidR="00073353" w:rsidRPr="00637F7C" w:rsidRDefault="00411497">
            <w:pPr>
              <w:widowControl/>
              <w:snapToGrid w:val="0"/>
              <w:jc w:val="left"/>
              <w:rPr>
                <w:rFonts w:ascii="宋体" w:hAnsi="宋体" w:cs="宋体"/>
                <w:kern w:val="0"/>
                <w:sz w:val="18"/>
                <w:szCs w:val="18"/>
              </w:rPr>
            </w:pPr>
            <w:r w:rsidRPr="00637F7C">
              <w:rPr>
                <w:rFonts w:ascii="宋体" w:hAnsi="宋体" w:cs="宋体" w:hint="eastAsia"/>
                <w:kern w:val="0"/>
                <w:sz w:val="18"/>
                <w:szCs w:val="18"/>
              </w:rPr>
              <w:t>变更后的项目可行性发生重大变化的情况说明</w:t>
            </w:r>
          </w:p>
        </w:tc>
        <w:tc>
          <w:tcPr>
            <w:tcW w:w="3671" w:type="pct"/>
            <w:gridSpan w:val="7"/>
            <w:shd w:val="clear" w:color="auto" w:fill="auto"/>
            <w:vAlign w:val="center"/>
          </w:tcPr>
          <w:p w:rsidR="00073353" w:rsidRPr="00D320A2" w:rsidRDefault="00411497">
            <w:pPr>
              <w:widowControl/>
              <w:snapToGrid w:val="0"/>
              <w:spacing w:line="240" w:lineRule="exact"/>
              <w:jc w:val="left"/>
              <w:rPr>
                <w:rFonts w:ascii="宋体" w:hAnsi="宋体" w:cs="宋体"/>
                <w:kern w:val="0"/>
                <w:sz w:val="18"/>
                <w:szCs w:val="18"/>
              </w:rPr>
            </w:pPr>
            <w:r w:rsidRPr="00637F7C">
              <w:rPr>
                <w:rFonts w:ascii="宋体" w:hAnsi="宋体" w:cs="宋体"/>
                <w:kern w:val="0"/>
                <w:sz w:val="18"/>
                <w:szCs w:val="18"/>
              </w:rPr>
              <w:t>不适用</w:t>
            </w:r>
          </w:p>
        </w:tc>
      </w:tr>
    </w:tbl>
    <w:p w:rsidR="00073353" w:rsidRPr="00D320A2" w:rsidRDefault="00073353">
      <w:pPr>
        <w:snapToGrid w:val="0"/>
        <w:spacing w:line="360" w:lineRule="auto"/>
        <w:rPr>
          <w:rFonts w:ascii="宋体" w:hAnsi="宋体"/>
          <w:szCs w:val="21"/>
        </w:rPr>
      </w:pPr>
    </w:p>
    <w:sectPr w:rsidR="00073353" w:rsidRPr="00D320A2">
      <w:pgSz w:w="16840" w:h="11907" w:orient="landscape"/>
      <w:pgMar w:top="1797" w:right="1418" w:bottom="1418" w:left="1418" w:header="851" w:footer="99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A2" w:rsidRDefault="00041DA2">
      <w:r>
        <w:separator/>
      </w:r>
    </w:p>
  </w:endnote>
  <w:endnote w:type="continuationSeparator" w:id="0">
    <w:p w:rsidR="00041DA2" w:rsidRDefault="000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53" w:rsidRDefault="0007335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A2" w:rsidRDefault="00041DA2">
      <w:r>
        <w:separator/>
      </w:r>
    </w:p>
  </w:footnote>
  <w:footnote w:type="continuationSeparator" w:id="0">
    <w:p w:rsidR="00041DA2" w:rsidRDefault="0004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435"/>
  <w:noPunctuationKerning/>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 w:name="附注一级" w:val="附注一级"/>
  </w:docVars>
  <w:rsids>
    <w:rsidRoot w:val="00460EE8"/>
    <w:rsid w:val="000013DC"/>
    <w:rsid w:val="00001E00"/>
    <w:rsid w:val="00006DD2"/>
    <w:rsid w:val="00011A2B"/>
    <w:rsid w:val="00012B39"/>
    <w:rsid w:val="000133A9"/>
    <w:rsid w:val="00014DDC"/>
    <w:rsid w:val="00022222"/>
    <w:rsid w:val="00024E69"/>
    <w:rsid w:val="00026191"/>
    <w:rsid w:val="000327AA"/>
    <w:rsid w:val="00032913"/>
    <w:rsid w:val="00033249"/>
    <w:rsid w:val="00035162"/>
    <w:rsid w:val="0003517D"/>
    <w:rsid w:val="00036456"/>
    <w:rsid w:val="00041C0F"/>
    <w:rsid w:val="00041DA2"/>
    <w:rsid w:val="00045999"/>
    <w:rsid w:val="00047488"/>
    <w:rsid w:val="00051AC0"/>
    <w:rsid w:val="00055A8E"/>
    <w:rsid w:val="00062F75"/>
    <w:rsid w:val="0006710F"/>
    <w:rsid w:val="00067911"/>
    <w:rsid w:val="00073353"/>
    <w:rsid w:val="00074415"/>
    <w:rsid w:val="000769AE"/>
    <w:rsid w:val="00082BFC"/>
    <w:rsid w:val="00084D16"/>
    <w:rsid w:val="00086170"/>
    <w:rsid w:val="00087E54"/>
    <w:rsid w:val="000903E8"/>
    <w:rsid w:val="000915E7"/>
    <w:rsid w:val="00091981"/>
    <w:rsid w:val="000922B6"/>
    <w:rsid w:val="00092A0A"/>
    <w:rsid w:val="00095AFE"/>
    <w:rsid w:val="000A0F7C"/>
    <w:rsid w:val="000A1C33"/>
    <w:rsid w:val="000A369C"/>
    <w:rsid w:val="000A5563"/>
    <w:rsid w:val="000A576E"/>
    <w:rsid w:val="000B1578"/>
    <w:rsid w:val="000B1A7C"/>
    <w:rsid w:val="000B434F"/>
    <w:rsid w:val="000B6236"/>
    <w:rsid w:val="000C0DA9"/>
    <w:rsid w:val="000C2D07"/>
    <w:rsid w:val="000C3192"/>
    <w:rsid w:val="000C496E"/>
    <w:rsid w:val="000C57A5"/>
    <w:rsid w:val="000D0A26"/>
    <w:rsid w:val="000D3402"/>
    <w:rsid w:val="000D63BC"/>
    <w:rsid w:val="000D6445"/>
    <w:rsid w:val="000E531C"/>
    <w:rsid w:val="000F0ED6"/>
    <w:rsid w:val="000F4183"/>
    <w:rsid w:val="000F6DE4"/>
    <w:rsid w:val="00101D92"/>
    <w:rsid w:val="00105631"/>
    <w:rsid w:val="001079E8"/>
    <w:rsid w:val="00110A15"/>
    <w:rsid w:val="001125DA"/>
    <w:rsid w:val="0011479E"/>
    <w:rsid w:val="00116A08"/>
    <w:rsid w:val="00116E62"/>
    <w:rsid w:val="001208F6"/>
    <w:rsid w:val="00123441"/>
    <w:rsid w:val="00123D42"/>
    <w:rsid w:val="00124044"/>
    <w:rsid w:val="001252E3"/>
    <w:rsid w:val="001269B1"/>
    <w:rsid w:val="001300A3"/>
    <w:rsid w:val="00132675"/>
    <w:rsid w:val="00134B25"/>
    <w:rsid w:val="00140D40"/>
    <w:rsid w:val="00140DEA"/>
    <w:rsid w:val="0014377A"/>
    <w:rsid w:val="001453D8"/>
    <w:rsid w:val="00152C12"/>
    <w:rsid w:val="00153054"/>
    <w:rsid w:val="0015315D"/>
    <w:rsid w:val="00153434"/>
    <w:rsid w:val="0015416E"/>
    <w:rsid w:val="001550D8"/>
    <w:rsid w:val="001563E7"/>
    <w:rsid w:val="00156D88"/>
    <w:rsid w:val="001617BF"/>
    <w:rsid w:val="00161D9F"/>
    <w:rsid w:val="00162247"/>
    <w:rsid w:val="00164A00"/>
    <w:rsid w:val="00167111"/>
    <w:rsid w:val="0016785D"/>
    <w:rsid w:val="00170847"/>
    <w:rsid w:val="00173249"/>
    <w:rsid w:val="00174C70"/>
    <w:rsid w:val="00175EF0"/>
    <w:rsid w:val="00176FCB"/>
    <w:rsid w:val="00182A14"/>
    <w:rsid w:val="00182AFF"/>
    <w:rsid w:val="0018542E"/>
    <w:rsid w:val="00190193"/>
    <w:rsid w:val="00190D9E"/>
    <w:rsid w:val="0019118B"/>
    <w:rsid w:val="00192C91"/>
    <w:rsid w:val="0019398F"/>
    <w:rsid w:val="001A0BE5"/>
    <w:rsid w:val="001A1B37"/>
    <w:rsid w:val="001A1B63"/>
    <w:rsid w:val="001A50F8"/>
    <w:rsid w:val="001A74DF"/>
    <w:rsid w:val="001A78FA"/>
    <w:rsid w:val="001B0C01"/>
    <w:rsid w:val="001B2997"/>
    <w:rsid w:val="001C129D"/>
    <w:rsid w:val="001C197E"/>
    <w:rsid w:val="001C1D28"/>
    <w:rsid w:val="001C4436"/>
    <w:rsid w:val="001C5347"/>
    <w:rsid w:val="001C6243"/>
    <w:rsid w:val="001C6F35"/>
    <w:rsid w:val="001C7475"/>
    <w:rsid w:val="001D135B"/>
    <w:rsid w:val="001D23CB"/>
    <w:rsid w:val="001D28BF"/>
    <w:rsid w:val="001D3C50"/>
    <w:rsid w:val="001D3CB7"/>
    <w:rsid w:val="001D77BF"/>
    <w:rsid w:val="001E283F"/>
    <w:rsid w:val="001E3BDD"/>
    <w:rsid w:val="001E7507"/>
    <w:rsid w:val="001F1DBA"/>
    <w:rsid w:val="001F2128"/>
    <w:rsid w:val="001F3565"/>
    <w:rsid w:val="001F3C44"/>
    <w:rsid w:val="001F5E5F"/>
    <w:rsid w:val="00201908"/>
    <w:rsid w:val="002020FB"/>
    <w:rsid w:val="002072D3"/>
    <w:rsid w:val="002122A8"/>
    <w:rsid w:val="00214F63"/>
    <w:rsid w:val="0021721D"/>
    <w:rsid w:val="002226D2"/>
    <w:rsid w:val="00222C11"/>
    <w:rsid w:val="00224C18"/>
    <w:rsid w:val="00226D90"/>
    <w:rsid w:val="00231A16"/>
    <w:rsid w:val="002348B6"/>
    <w:rsid w:val="00237324"/>
    <w:rsid w:val="00240035"/>
    <w:rsid w:val="0024083E"/>
    <w:rsid w:val="00244283"/>
    <w:rsid w:val="002466C3"/>
    <w:rsid w:val="00253A21"/>
    <w:rsid w:val="002559E4"/>
    <w:rsid w:val="00260527"/>
    <w:rsid w:val="002663B5"/>
    <w:rsid w:val="002678FE"/>
    <w:rsid w:val="002739EF"/>
    <w:rsid w:val="00277F3E"/>
    <w:rsid w:val="002814F1"/>
    <w:rsid w:val="002840A9"/>
    <w:rsid w:val="00284341"/>
    <w:rsid w:val="0029048E"/>
    <w:rsid w:val="00294FF7"/>
    <w:rsid w:val="00295B48"/>
    <w:rsid w:val="002973BB"/>
    <w:rsid w:val="002A1724"/>
    <w:rsid w:val="002A2A18"/>
    <w:rsid w:val="002A430A"/>
    <w:rsid w:val="002A5FDC"/>
    <w:rsid w:val="002A6058"/>
    <w:rsid w:val="002B3129"/>
    <w:rsid w:val="002B332B"/>
    <w:rsid w:val="002B5B5F"/>
    <w:rsid w:val="002B70D1"/>
    <w:rsid w:val="002C1102"/>
    <w:rsid w:val="002C4BC4"/>
    <w:rsid w:val="002C4DB4"/>
    <w:rsid w:val="002C5DEF"/>
    <w:rsid w:val="002C6788"/>
    <w:rsid w:val="002D0B5C"/>
    <w:rsid w:val="002D767E"/>
    <w:rsid w:val="002E1D3B"/>
    <w:rsid w:val="002E635C"/>
    <w:rsid w:val="002F03B0"/>
    <w:rsid w:val="002F6AD8"/>
    <w:rsid w:val="002F73E8"/>
    <w:rsid w:val="00301E8A"/>
    <w:rsid w:val="00302F28"/>
    <w:rsid w:val="0030328F"/>
    <w:rsid w:val="00304369"/>
    <w:rsid w:val="00304AD1"/>
    <w:rsid w:val="0030666B"/>
    <w:rsid w:val="00306D9B"/>
    <w:rsid w:val="003073C3"/>
    <w:rsid w:val="00310D4F"/>
    <w:rsid w:val="003110BF"/>
    <w:rsid w:val="00320909"/>
    <w:rsid w:val="00320C09"/>
    <w:rsid w:val="003211C7"/>
    <w:rsid w:val="00321F24"/>
    <w:rsid w:val="00322FEA"/>
    <w:rsid w:val="0032391B"/>
    <w:rsid w:val="0032696A"/>
    <w:rsid w:val="00327D1D"/>
    <w:rsid w:val="00331B39"/>
    <w:rsid w:val="00335DD4"/>
    <w:rsid w:val="00340526"/>
    <w:rsid w:val="0034465C"/>
    <w:rsid w:val="00347F98"/>
    <w:rsid w:val="00350527"/>
    <w:rsid w:val="00357E1C"/>
    <w:rsid w:val="00361112"/>
    <w:rsid w:val="00361946"/>
    <w:rsid w:val="00363F83"/>
    <w:rsid w:val="003643F5"/>
    <w:rsid w:val="00364D5A"/>
    <w:rsid w:val="00367629"/>
    <w:rsid w:val="0037479A"/>
    <w:rsid w:val="0037589F"/>
    <w:rsid w:val="00377346"/>
    <w:rsid w:val="00381181"/>
    <w:rsid w:val="00382C58"/>
    <w:rsid w:val="00387233"/>
    <w:rsid w:val="00391667"/>
    <w:rsid w:val="00395365"/>
    <w:rsid w:val="00395786"/>
    <w:rsid w:val="00395F2D"/>
    <w:rsid w:val="0039760B"/>
    <w:rsid w:val="003A0F8A"/>
    <w:rsid w:val="003A11AB"/>
    <w:rsid w:val="003A3025"/>
    <w:rsid w:val="003A3693"/>
    <w:rsid w:val="003A4640"/>
    <w:rsid w:val="003A4764"/>
    <w:rsid w:val="003A6666"/>
    <w:rsid w:val="003A689C"/>
    <w:rsid w:val="003A6F17"/>
    <w:rsid w:val="003B5CBD"/>
    <w:rsid w:val="003B611A"/>
    <w:rsid w:val="003C2118"/>
    <w:rsid w:val="003C523E"/>
    <w:rsid w:val="003C7815"/>
    <w:rsid w:val="003D01AF"/>
    <w:rsid w:val="003D125D"/>
    <w:rsid w:val="003E2633"/>
    <w:rsid w:val="003E38BB"/>
    <w:rsid w:val="003E4A62"/>
    <w:rsid w:val="003E5701"/>
    <w:rsid w:val="003E6BB6"/>
    <w:rsid w:val="003E746D"/>
    <w:rsid w:val="003F0531"/>
    <w:rsid w:val="003F084C"/>
    <w:rsid w:val="003F1B50"/>
    <w:rsid w:val="003F357F"/>
    <w:rsid w:val="003F41BF"/>
    <w:rsid w:val="003F4BD8"/>
    <w:rsid w:val="003F6B0D"/>
    <w:rsid w:val="003F7EE2"/>
    <w:rsid w:val="004001B6"/>
    <w:rsid w:val="0040270E"/>
    <w:rsid w:val="00403D14"/>
    <w:rsid w:val="00403D7D"/>
    <w:rsid w:val="004040E0"/>
    <w:rsid w:val="00404A11"/>
    <w:rsid w:val="00406B70"/>
    <w:rsid w:val="00407C15"/>
    <w:rsid w:val="004101FE"/>
    <w:rsid w:val="00411497"/>
    <w:rsid w:val="00412F03"/>
    <w:rsid w:val="0041492A"/>
    <w:rsid w:val="00415BBE"/>
    <w:rsid w:val="00416E74"/>
    <w:rsid w:val="004201CA"/>
    <w:rsid w:val="004206D2"/>
    <w:rsid w:val="004225AC"/>
    <w:rsid w:val="004231BF"/>
    <w:rsid w:val="00423C42"/>
    <w:rsid w:val="004305CD"/>
    <w:rsid w:val="004308D1"/>
    <w:rsid w:val="00430F98"/>
    <w:rsid w:val="004328D8"/>
    <w:rsid w:val="00441534"/>
    <w:rsid w:val="00441887"/>
    <w:rsid w:val="00442B40"/>
    <w:rsid w:val="0044345E"/>
    <w:rsid w:val="0044557E"/>
    <w:rsid w:val="00452483"/>
    <w:rsid w:val="00453D55"/>
    <w:rsid w:val="004559C8"/>
    <w:rsid w:val="00457F37"/>
    <w:rsid w:val="00460EE8"/>
    <w:rsid w:val="0046309C"/>
    <w:rsid w:val="004635DA"/>
    <w:rsid w:val="00467431"/>
    <w:rsid w:val="00472EC0"/>
    <w:rsid w:val="00473A60"/>
    <w:rsid w:val="00476E01"/>
    <w:rsid w:val="00476F39"/>
    <w:rsid w:val="00477A7F"/>
    <w:rsid w:val="00477F08"/>
    <w:rsid w:val="0048116D"/>
    <w:rsid w:val="004816B7"/>
    <w:rsid w:val="0048178C"/>
    <w:rsid w:val="00482FA6"/>
    <w:rsid w:val="0048334E"/>
    <w:rsid w:val="0048432B"/>
    <w:rsid w:val="004843F4"/>
    <w:rsid w:val="00484712"/>
    <w:rsid w:val="00486C01"/>
    <w:rsid w:val="00486E85"/>
    <w:rsid w:val="004A10B1"/>
    <w:rsid w:val="004A3701"/>
    <w:rsid w:val="004A7754"/>
    <w:rsid w:val="004B2200"/>
    <w:rsid w:val="004B2383"/>
    <w:rsid w:val="004B278C"/>
    <w:rsid w:val="004B38EA"/>
    <w:rsid w:val="004B5607"/>
    <w:rsid w:val="004B57D8"/>
    <w:rsid w:val="004B7641"/>
    <w:rsid w:val="004C0A50"/>
    <w:rsid w:val="004C0D6B"/>
    <w:rsid w:val="004D58DC"/>
    <w:rsid w:val="004E42BD"/>
    <w:rsid w:val="004E6A04"/>
    <w:rsid w:val="004F402B"/>
    <w:rsid w:val="004F4662"/>
    <w:rsid w:val="004F4B34"/>
    <w:rsid w:val="004F4EAF"/>
    <w:rsid w:val="005009AE"/>
    <w:rsid w:val="00500B3D"/>
    <w:rsid w:val="0050206B"/>
    <w:rsid w:val="005042BE"/>
    <w:rsid w:val="005072D2"/>
    <w:rsid w:val="00507659"/>
    <w:rsid w:val="00510141"/>
    <w:rsid w:val="00512B53"/>
    <w:rsid w:val="00512CC9"/>
    <w:rsid w:val="00513D0B"/>
    <w:rsid w:val="00515739"/>
    <w:rsid w:val="005159AC"/>
    <w:rsid w:val="00515DDE"/>
    <w:rsid w:val="00516E06"/>
    <w:rsid w:val="00522285"/>
    <w:rsid w:val="00524A64"/>
    <w:rsid w:val="00532142"/>
    <w:rsid w:val="00532901"/>
    <w:rsid w:val="0053678D"/>
    <w:rsid w:val="00537501"/>
    <w:rsid w:val="00541BA3"/>
    <w:rsid w:val="00541EE1"/>
    <w:rsid w:val="00543C86"/>
    <w:rsid w:val="00546BB9"/>
    <w:rsid w:val="0054737E"/>
    <w:rsid w:val="005507F4"/>
    <w:rsid w:val="005516A5"/>
    <w:rsid w:val="005537AA"/>
    <w:rsid w:val="0055414B"/>
    <w:rsid w:val="00555034"/>
    <w:rsid w:val="00562B73"/>
    <w:rsid w:val="005654AE"/>
    <w:rsid w:val="00567E22"/>
    <w:rsid w:val="005705A2"/>
    <w:rsid w:val="0057065C"/>
    <w:rsid w:val="0057186A"/>
    <w:rsid w:val="00580050"/>
    <w:rsid w:val="0058484F"/>
    <w:rsid w:val="00586039"/>
    <w:rsid w:val="00591F1D"/>
    <w:rsid w:val="00591F59"/>
    <w:rsid w:val="0059639D"/>
    <w:rsid w:val="00597B93"/>
    <w:rsid w:val="005A2E9F"/>
    <w:rsid w:val="005B01FA"/>
    <w:rsid w:val="005B12FB"/>
    <w:rsid w:val="005B3D18"/>
    <w:rsid w:val="005B3D34"/>
    <w:rsid w:val="005B7536"/>
    <w:rsid w:val="005C0240"/>
    <w:rsid w:val="005C175E"/>
    <w:rsid w:val="005C2AFF"/>
    <w:rsid w:val="005C5C84"/>
    <w:rsid w:val="005C62F8"/>
    <w:rsid w:val="005D1EE0"/>
    <w:rsid w:val="005D1F1B"/>
    <w:rsid w:val="005D44DB"/>
    <w:rsid w:val="005D4BFA"/>
    <w:rsid w:val="005D4EB7"/>
    <w:rsid w:val="005D4F53"/>
    <w:rsid w:val="005D746F"/>
    <w:rsid w:val="005E1A7A"/>
    <w:rsid w:val="005E4169"/>
    <w:rsid w:val="005E592F"/>
    <w:rsid w:val="005F0F38"/>
    <w:rsid w:val="005F13FE"/>
    <w:rsid w:val="005F52D7"/>
    <w:rsid w:val="00601C09"/>
    <w:rsid w:val="00602354"/>
    <w:rsid w:val="0060291C"/>
    <w:rsid w:val="00602EAC"/>
    <w:rsid w:val="006051DE"/>
    <w:rsid w:val="006116D4"/>
    <w:rsid w:val="0061465F"/>
    <w:rsid w:val="00615EA4"/>
    <w:rsid w:val="00616FFE"/>
    <w:rsid w:val="00621123"/>
    <w:rsid w:val="00621775"/>
    <w:rsid w:val="00622AC5"/>
    <w:rsid w:val="006231FE"/>
    <w:rsid w:val="00624DA1"/>
    <w:rsid w:val="00625F97"/>
    <w:rsid w:val="006309D7"/>
    <w:rsid w:val="0063162B"/>
    <w:rsid w:val="00631B57"/>
    <w:rsid w:val="00633165"/>
    <w:rsid w:val="00636D6D"/>
    <w:rsid w:val="00637F7C"/>
    <w:rsid w:val="0064003F"/>
    <w:rsid w:val="006437AE"/>
    <w:rsid w:val="0064385A"/>
    <w:rsid w:val="00644AA0"/>
    <w:rsid w:val="00646286"/>
    <w:rsid w:val="00647B4D"/>
    <w:rsid w:val="0065645E"/>
    <w:rsid w:val="0065710C"/>
    <w:rsid w:val="0066206A"/>
    <w:rsid w:val="00665C1F"/>
    <w:rsid w:val="006705C8"/>
    <w:rsid w:val="00673540"/>
    <w:rsid w:val="006755E7"/>
    <w:rsid w:val="00675A8A"/>
    <w:rsid w:val="00676BE2"/>
    <w:rsid w:val="00681E8A"/>
    <w:rsid w:val="006824F6"/>
    <w:rsid w:val="00684E06"/>
    <w:rsid w:val="00691DCC"/>
    <w:rsid w:val="00693228"/>
    <w:rsid w:val="00693AE2"/>
    <w:rsid w:val="00694EA7"/>
    <w:rsid w:val="00694F87"/>
    <w:rsid w:val="00695AA3"/>
    <w:rsid w:val="006A270D"/>
    <w:rsid w:val="006A62E7"/>
    <w:rsid w:val="006A7FC4"/>
    <w:rsid w:val="006B2317"/>
    <w:rsid w:val="006B4755"/>
    <w:rsid w:val="006C2E24"/>
    <w:rsid w:val="006C485F"/>
    <w:rsid w:val="006C6663"/>
    <w:rsid w:val="006D01CB"/>
    <w:rsid w:val="006D1F94"/>
    <w:rsid w:val="006D3403"/>
    <w:rsid w:val="006D5874"/>
    <w:rsid w:val="006D69B0"/>
    <w:rsid w:val="006E398E"/>
    <w:rsid w:val="006F0EE3"/>
    <w:rsid w:val="006F253F"/>
    <w:rsid w:val="006F2819"/>
    <w:rsid w:val="006F283A"/>
    <w:rsid w:val="006F3148"/>
    <w:rsid w:val="006F3359"/>
    <w:rsid w:val="006F4563"/>
    <w:rsid w:val="006F512A"/>
    <w:rsid w:val="006F7F39"/>
    <w:rsid w:val="0070100F"/>
    <w:rsid w:val="00701375"/>
    <w:rsid w:val="007024C7"/>
    <w:rsid w:val="00703FAF"/>
    <w:rsid w:val="00705DB2"/>
    <w:rsid w:val="00710106"/>
    <w:rsid w:val="00712386"/>
    <w:rsid w:val="0071615A"/>
    <w:rsid w:val="00722801"/>
    <w:rsid w:val="00723F05"/>
    <w:rsid w:val="00724987"/>
    <w:rsid w:val="007262B7"/>
    <w:rsid w:val="007273AE"/>
    <w:rsid w:val="00732AB7"/>
    <w:rsid w:val="00735BCB"/>
    <w:rsid w:val="00737063"/>
    <w:rsid w:val="007405EB"/>
    <w:rsid w:val="00740945"/>
    <w:rsid w:val="00743F06"/>
    <w:rsid w:val="007472DE"/>
    <w:rsid w:val="00747E16"/>
    <w:rsid w:val="00752152"/>
    <w:rsid w:val="00752EEF"/>
    <w:rsid w:val="0075380E"/>
    <w:rsid w:val="00753926"/>
    <w:rsid w:val="00753979"/>
    <w:rsid w:val="007541D9"/>
    <w:rsid w:val="00754E46"/>
    <w:rsid w:val="00757AEA"/>
    <w:rsid w:val="00764422"/>
    <w:rsid w:val="0076459D"/>
    <w:rsid w:val="007645B0"/>
    <w:rsid w:val="00764DE7"/>
    <w:rsid w:val="00764F97"/>
    <w:rsid w:val="00770FED"/>
    <w:rsid w:val="00771AB8"/>
    <w:rsid w:val="00775F74"/>
    <w:rsid w:val="0077690A"/>
    <w:rsid w:val="00776E90"/>
    <w:rsid w:val="00777C7E"/>
    <w:rsid w:val="00781641"/>
    <w:rsid w:val="007820DE"/>
    <w:rsid w:val="007837F1"/>
    <w:rsid w:val="00786CFE"/>
    <w:rsid w:val="0078724E"/>
    <w:rsid w:val="0078777B"/>
    <w:rsid w:val="00790E9A"/>
    <w:rsid w:val="00793CBE"/>
    <w:rsid w:val="0079523E"/>
    <w:rsid w:val="00795430"/>
    <w:rsid w:val="007977F5"/>
    <w:rsid w:val="00797AA9"/>
    <w:rsid w:val="007A0A7D"/>
    <w:rsid w:val="007A116C"/>
    <w:rsid w:val="007A348E"/>
    <w:rsid w:val="007B46B1"/>
    <w:rsid w:val="007B595E"/>
    <w:rsid w:val="007B5968"/>
    <w:rsid w:val="007B7D2D"/>
    <w:rsid w:val="007C1FD9"/>
    <w:rsid w:val="007C3352"/>
    <w:rsid w:val="007C336D"/>
    <w:rsid w:val="007D14C4"/>
    <w:rsid w:val="007D451D"/>
    <w:rsid w:val="007D6E1C"/>
    <w:rsid w:val="007D736B"/>
    <w:rsid w:val="007D7F7A"/>
    <w:rsid w:val="007E07E6"/>
    <w:rsid w:val="007E2B54"/>
    <w:rsid w:val="007E4818"/>
    <w:rsid w:val="007E5989"/>
    <w:rsid w:val="007E5E11"/>
    <w:rsid w:val="007E6F64"/>
    <w:rsid w:val="007F0844"/>
    <w:rsid w:val="007F0BD1"/>
    <w:rsid w:val="007F2D8A"/>
    <w:rsid w:val="007F4729"/>
    <w:rsid w:val="007F4AF4"/>
    <w:rsid w:val="00802398"/>
    <w:rsid w:val="00802F05"/>
    <w:rsid w:val="008030D4"/>
    <w:rsid w:val="0080341D"/>
    <w:rsid w:val="00805ABC"/>
    <w:rsid w:val="00806BE9"/>
    <w:rsid w:val="00810CCA"/>
    <w:rsid w:val="00810DAF"/>
    <w:rsid w:val="00812F3D"/>
    <w:rsid w:val="00813C9D"/>
    <w:rsid w:val="00815105"/>
    <w:rsid w:val="00817420"/>
    <w:rsid w:val="00817506"/>
    <w:rsid w:val="00820EAE"/>
    <w:rsid w:val="008226C5"/>
    <w:rsid w:val="008247A0"/>
    <w:rsid w:val="00825CA0"/>
    <w:rsid w:val="00832A9A"/>
    <w:rsid w:val="00840681"/>
    <w:rsid w:val="00843A7E"/>
    <w:rsid w:val="008470CD"/>
    <w:rsid w:val="00847798"/>
    <w:rsid w:val="00847C52"/>
    <w:rsid w:val="00853230"/>
    <w:rsid w:val="00854856"/>
    <w:rsid w:val="00863666"/>
    <w:rsid w:val="00870095"/>
    <w:rsid w:val="00870D3C"/>
    <w:rsid w:val="008728FD"/>
    <w:rsid w:val="008736DD"/>
    <w:rsid w:val="00874FEC"/>
    <w:rsid w:val="00877C67"/>
    <w:rsid w:val="00880275"/>
    <w:rsid w:val="00881F44"/>
    <w:rsid w:val="0088768D"/>
    <w:rsid w:val="00890DFF"/>
    <w:rsid w:val="008A0652"/>
    <w:rsid w:val="008A3B95"/>
    <w:rsid w:val="008A5C43"/>
    <w:rsid w:val="008A6F33"/>
    <w:rsid w:val="008A7296"/>
    <w:rsid w:val="008B08CE"/>
    <w:rsid w:val="008B0B24"/>
    <w:rsid w:val="008B4616"/>
    <w:rsid w:val="008B5B9E"/>
    <w:rsid w:val="008B7049"/>
    <w:rsid w:val="008C2824"/>
    <w:rsid w:val="008C4C91"/>
    <w:rsid w:val="008C79BC"/>
    <w:rsid w:val="008D0F5D"/>
    <w:rsid w:val="008D19A5"/>
    <w:rsid w:val="008D1A93"/>
    <w:rsid w:val="008D37EF"/>
    <w:rsid w:val="008D3C97"/>
    <w:rsid w:val="008E12A5"/>
    <w:rsid w:val="008E2195"/>
    <w:rsid w:val="008E5627"/>
    <w:rsid w:val="008E5F52"/>
    <w:rsid w:val="008E780F"/>
    <w:rsid w:val="008F3448"/>
    <w:rsid w:val="008F3B6B"/>
    <w:rsid w:val="008F46F1"/>
    <w:rsid w:val="008F5D99"/>
    <w:rsid w:val="00900BF7"/>
    <w:rsid w:val="00900F91"/>
    <w:rsid w:val="00902AB4"/>
    <w:rsid w:val="00902C67"/>
    <w:rsid w:val="0090351C"/>
    <w:rsid w:val="009124C0"/>
    <w:rsid w:val="009132F4"/>
    <w:rsid w:val="00914BCC"/>
    <w:rsid w:val="0092093C"/>
    <w:rsid w:val="009302F4"/>
    <w:rsid w:val="00931907"/>
    <w:rsid w:val="00931E7E"/>
    <w:rsid w:val="00933BD9"/>
    <w:rsid w:val="00934EB8"/>
    <w:rsid w:val="00936BFA"/>
    <w:rsid w:val="009416C0"/>
    <w:rsid w:val="00943F70"/>
    <w:rsid w:val="00944D8D"/>
    <w:rsid w:val="0095044A"/>
    <w:rsid w:val="00950B1F"/>
    <w:rsid w:val="00953A9F"/>
    <w:rsid w:val="00953B00"/>
    <w:rsid w:val="00953F56"/>
    <w:rsid w:val="00954FE7"/>
    <w:rsid w:val="009561E5"/>
    <w:rsid w:val="00957FEF"/>
    <w:rsid w:val="00961383"/>
    <w:rsid w:val="0097017F"/>
    <w:rsid w:val="00971086"/>
    <w:rsid w:val="0097125B"/>
    <w:rsid w:val="00971998"/>
    <w:rsid w:val="00973157"/>
    <w:rsid w:val="00974A80"/>
    <w:rsid w:val="00976051"/>
    <w:rsid w:val="009762F1"/>
    <w:rsid w:val="00976BA2"/>
    <w:rsid w:val="0098159E"/>
    <w:rsid w:val="00981BA0"/>
    <w:rsid w:val="00983725"/>
    <w:rsid w:val="0098686B"/>
    <w:rsid w:val="009A0C42"/>
    <w:rsid w:val="009A4180"/>
    <w:rsid w:val="009A6465"/>
    <w:rsid w:val="009A744A"/>
    <w:rsid w:val="009B4513"/>
    <w:rsid w:val="009B534A"/>
    <w:rsid w:val="009B534E"/>
    <w:rsid w:val="009B7B17"/>
    <w:rsid w:val="009C43FD"/>
    <w:rsid w:val="009C454A"/>
    <w:rsid w:val="009C67C4"/>
    <w:rsid w:val="009C706D"/>
    <w:rsid w:val="009C75C5"/>
    <w:rsid w:val="009D13CE"/>
    <w:rsid w:val="009D580B"/>
    <w:rsid w:val="009D64CF"/>
    <w:rsid w:val="009D6DEB"/>
    <w:rsid w:val="009D760E"/>
    <w:rsid w:val="009D76EE"/>
    <w:rsid w:val="009E28DD"/>
    <w:rsid w:val="009E2E49"/>
    <w:rsid w:val="009E3133"/>
    <w:rsid w:val="009E533F"/>
    <w:rsid w:val="009E7176"/>
    <w:rsid w:val="009E7C9A"/>
    <w:rsid w:val="009F34FD"/>
    <w:rsid w:val="009F4970"/>
    <w:rsid w:val="009F4D51"/>
    <w:rsid w:val="009F65CF"/>
    <w:rsid w:val="00A01786"/>
    <w:rsid w:val="00A02A24"/>
    <w:rsid w:val="00A02D0A"/>
    <w:rsid w:val="00A10598"/>
    <w:rsid w:val="00A11619"/>
    <w:rsid w:val="00A12148"/>
    <w:rsid w:val="00A144FC"/>
    <w:rsid w:val="00A14E4E"/>
    <w:rsid w:val="00A2288A"/>
    <w:rsid w:val="00A257EB"/>
    <w:rsid w:val="00A25A2A"/>
    <w:rsid w:val="00A27A99"/>
    <w:rsid w:val="00A33D42"/>
    <w:rsid w:val="00A34641"/>
    <w:rsid w:val="00A3548E"/>
    <w:rsid w:val="00A35C3F"/>
    <w:rsid w:val="00A36DA5"/>
    <w:rsid w:val="00A4027E"/>
    <w:rsid w:val="00A40BDE"/>
    <w:rsid w:val="00A40D3C"/>
    <w:rsid w:val="00A41982"/>
    <w:rsid w:val="00A427D8"/>
    <w:rsid w:val="00A45606"/>
    <w:rsid w:val="00A475D9"/>
    <w:rsid w:val="00A54678"/>
    <w:rsid w:val="00A57CC2"/>
    <w:rsid w:val="00A636E4"/>
    <w:rsid w:val="00A63A75"/>
    <w:rsid w:val="00A66A4A"/>
    <w:rsid w:val="00A66F2D"/>
    <w:rsid w:val="00A66FDB"/>
    <w:rsid w:val="00A678C2"/>
    <w:rsid w:val="00A70C4C"/>
    <w:rsid w:val="00A7196D"/>
    <w:rsid w:val="00A721D0"/>
    <w:rsid w:val="00A72533"/>
    <w:rsid w:val="00A76294"/>
    <w:rsid w:val="00A765F0"/>
    <w:rsid w:val="00A806CD"/>
    <w:rsid w:val="00A83C6A"/>
    <w:rsid w:val="00A8565B"/>
    <w:rsid w:val="00A9258E"/>
    <w:rsid w:val="00AA001F"/>
    <w:rsid w:val="00AA1E78"/>
    <w:rsid w:val="00AA4AAB"/>
    <w:rsid w:val="00AA5715"/>
    <w:rsid w:val="00AA5C8A"/>
    <w:rsid w:val="00AA5CE5"/>
    <w:rsid w:val="00AB2F2F"/>
    <w:rsid w:val="00AB538E"/>
    <w:rsid w:val="00AB686C"/>
    <w:rsid w:val="00AB7A66"/>
    <w:rsid w:val="00AB7ABA"/>
    <w:rsid w:val="00AC5935"/>
    <w:rsid w:val="00AC5BB5"/>
    <w:rsid w:val="00AC5BD8"/>
    <w:rsid w:val="00AC5DFE"/>
    <w:rsid w:val="00AC6932"/>
    <w:rsid w:val="00AC7069"/>
    <w:rsid w:val="00AD2B31"/>
    <w:rsid w:val="00AD6C1D"/>
    <w:rsid w:val="00AE0FB7"/>
    <w:rsid w:val="00AE1B1C"/>
    <w:rsid w:val="00AE2B79"/>
    <w:rsid w:val="00AE3797"/>
    <w:rsid w:val="00AE56B2"/>
    <w:rsid w:val="00AE62B4"/>
    <w:rsid w:val="00AF66A8"/>
    <w:rsid w:val="00AF7248"/>
    <w:rsid w:val="00B10FC7"/>
    <w:rsid w:val="00B11745"/>
    <w:rsid w:val="00B12F3B"/>
    <w:rsid w:val="00B14A2E"/>
    <w:rsid w:val="00B15B90"/>
    <w:rsid w:val="00B15ED1"/>
    <w:rsid w:val="00B16220"/>
    <w:rsid w:val="00B20F6C"/>
    <w:rsid w:val="00B24E3D"/>
    <w:rsid w:val="00B2681D"/>
    <w:rsid w:val="00B26BE6"/>
    <w:rsid w:val="00B33071"/>
    <w:rsid w:val="00B3470F"/>
    <w:rsid w:val="00B34D64"/>
    <w:rsid w:val="00B36098"/>
    <w:rsid w:val="00B36E6E"/>
    <w:rsid w:val="00B40CEA"/>
    <w:rsid w:val="00B414FA"/>
    <w:rsid w:val="00B44B20"/>
    <w:rsid w:val="00B54A84"/>
    <w:rsid w:val="00B64D01"/>
    <w:rsid w:val="00B65621"/>
    <w:rsid w:val="00B715CA"/>
    <w:rsid w:val="00B73346"/>
    <w:rsid w:val="00B740AB"/>
    <w:rsid w:val="00B75F38"/>
    <w:rsid w:val="00B81975"/>
    <w:rsid w:val="00B81999"/>
    <w:rsid w:val="00B8333D"/>
    <w:rsid w:val="00B83628"/>
    <w:rsid w:val="00B8588F"/>
    <w:rsid w:val="00B87203"/>
    <w:rsid w:val="00B93035"/>
    <w:rsid w:val="00B93B75"/>
    <w:rsid w:val="00B964B9"/>
    <w:rsid w:val="00BA1468"/>
    <w:rsid w:val="00BA1DD2"/>
    <w:rsid w:val="00BA3C4E"/>
    <w:rsid w:val="00BA40AB"/>
    <w:rsid w:val="00BA7043"/>
    <w:rsid w:val="00BB0BA2"/>
    <w:rsid w:val="00BB2B20"/>
    <w:rsid w:val="00BB6F3E"/>
    <w:rsid w:val="00BC0858"/>
    <w:rsid w:val="00BC1106"/>
    <w:rsid w:val="00BC2E7F"/>
    <w:rsid w:val="00BC2E98"/>
    <w:rsid w:val="00BC2F7E"/>
    <w:rsid w:val="00BC3095"/>
    <w:rsid w:val="00BC4287"/>
    <w:rsid w:val="00BC6466"/>
    <w:rsid w:val="00BD4D9A"/>
    <w:rsid w:val="00BD5156"/>
    <w:rsid w:val="00BD6F87"/>
    <w:rsid w:val="00BD7124"/>
    <w:rsid w:val="00BD73E3"/>
    <w:rsid w:val="00BD7E3E"/>
    <w:rsid w:val="00BE032A"/>
    <w:rsid w:val="00BE2999"/>
    <w:rsid w:val="00BE41F8"/>
    <w:rsid w:val="00BE7A91"/>
    <w:rsid w:val="00BE7E06"/>
    <w:rsid w:val="00BF4FFC"/>
    <w:rsid w:val="00BF60CC"/>
    <w:rsid w:val="00C00485"/>
    <w:rsid w:val="00C00BE0"/>
    <w:rsid w:val="00C014C0"/>
    <w:rsid w:val="00C01832"/>
    <w:rsid w:val="00C01B06"/>
    <w:rsid w:val="00C02CBA"/>
    <w:rsid w:val="00C04C51"/>
    <w:rsid w:val="00C0533E"/>
    <w:rsid w:val="00C06749"/>
    <w:rsid w:val="00C071E1"/>
    <w:rsid w:val="00C202DE"/>
    <w:rsid w:val="00C217EB"/>
    <w:rsid w:val="00C23392"/>
    <w:rsid w:val="00C263B6"/>
    <w:rsid w:val="00C339FE"/>
    <w:rsid w:val="00C35A39"/>
    <w:rsid w:val="00C35F37"/>
    <w:rsid w:val="00C435D4"/>
    <w:rsid w:val="00C43FBF"/>
    <w:rsid w:val="00C441CC"/>
    <w:rsid w:val="00C4511A"/>
    <w:rsid w:val="00C45FD2"/>
    <w:rsid w:val="00C461FF"/>
    <w:rsid w:val="00C47A0E"/>
    <w:rsid w:val="00C519D2"/>
    <w:rsid w:val="00C52DDF"/>
    <w:rsid w:val="00C52F26"/>
    <w:rsid w:val="00C531C1"/>
    <w:rsid w:val="00C56E0C"/>
    <w:rsid w:val="00C577F4"/>
    <w:rsid w:val="00C57CC8"/>
    <w:rsid w:val="00C60C93"/>
    <w:rsid w:val="00C61363"/>
    <w:rsid w:val="00C616A1"/>
    <w:rsid w:val="00C621A7"/>
    <w:rsid w:val="00C63D1A"/>
    <w:rsid w:val="00C66318"/>
    <w:rsid w:val="00C667D7"/>
    <w:rsid w:val="00C70A2F"/>
    <w:rsid w:val="00C73A92"/>
    <w:rsid w:val="00C74529"/>
    <w:rsid w:val="00C7770A"/>
    <w:rsid w:val="00C8211A"/>
    <w:rsid w:val="00C85745"/>
    <w:rsid w:val="00C878B0"/>
    <w:rsid w:val="00C87C56"/>
    <w:rsid w:val="00C9165F"/>
    <w:rsid w:val="00C9369A"/>
    <w:rsid w:val="00C94763"/>
    <w:rsid w:val="00C957B3"/>
    <w:rsid w:val="00CA029A"/>
    <w:rsid w:val="00CA0364"/>
    <w:rsid w:val="00CA4569"/>
    <w:rsid w:val="00CA5BEE"/>
    <w:rsid w:val="00CA6721"/>
    <w:rsid w:val="00CA72EB"/>
    <w:rsid w:val="00CB2F64"/>
    <w:rsid w:val="00CB3328"/>
    <w:rsid w:val="00CB43BD"/>
    <w:rsid w:val="00CB4D85"/>
    <w:rsid w:val="00CB5670"/>
    <w:rsid w:val="00CB6ADD"/>
    <w:rsid w:val="00CB7C72"/>
    <w:rsid w:val="00CB7D53"/>
    <w:rsid w:val="00CC01B6"/>
    <w:rsid w:val="00CC446B"/>
    <w:rsid w:val="00CC4CA2"/>
    <w:rsid w:val="00CC5CA6"/>
    <w:rsid w:val="00CC77DD"/>
    <w:rsid w:val="00CC798A"/>
    <w:rsid w:val="00CD1B02"/>
    <w:rsid w:val="00CD5616"/>
    <w:rsid w:val="00CD6249"/>
    <w:rsid w:val="00CD68C0"/>
    <w:rsid w:val="00CD7607"/>
    <w:rsid w:val="00CE077B"/>
    <w:rsid w:val="00CE0854"/>
    <w:rsid w:val="00CE19AF"/>
    <w:rsid w:val="00CE415E"/>
    <w:rsid w:val="00CE665D"/>
    <w:rsid w:val="00CE68C5"/>
    <w:rsid w:val="00CF5759"/>
    <w:rsid w:val="00D100A7"/>
    <w:rsid w:val="00D10383"/>
    <w:rsid w:val="00D1212A"/>
    <w:rsid w:val="00D178B0"/>
    <w:rsid w:val="00D20087"/>
    <w:rsid w:val="00D2143C"/>
    <w:rsid w:val="00D21C43"/>
    <w:rsid w:val="00D23CB1"/>
    <w:rsid w:val="00D306CC"/>
    <w:rsid w:val="00D306D5"/>
    <w:rsid w:val="00D3107F"/>
    <w:rsid w:val="00D320A2"/>
    <w:rsid w:val="00D322E4"/>
    <w:rsid w:val="00D3476A"/>
    <w:rsid w:val="00D34BB5"/>
    <w:rsid w:val="00D438DC"/>
    <w:rsid w:val="00D43BDF"/>
    <w:rsid w:val="00D46EB4"/>
    <w:rsid w:val="00D47237"/>
    <w:rsid w:val="00D5283F"/>
    <w:rsid w:val="00D52B57"/>
    <w:rsid w:val="00D530D5"/>
    <w:rsid w:val="00D55E0A"/>
    <w:rsid w:val="00D56B55"/>
    <w:rsid w:val="00D577C5"/>
    <w:rsid w:val="00D62577"/>
    <w:rsid w:val="00D65094"/>
    <w:rsid w:val="00D65E94"/>
    <w:rsid w:val="00D66689"/>
    <w:rsid w:val="00D676EF"/>
    <w:rsid w:val="00D70365"/>
    <w:rsid w:val="00D71214"/>
    <w:rsid w:val="00D71FA6"/>
    <w:rsid w:val="00D802C1"/>
    <w:rsid w:val="00D86456"/>
    <w:rsid w:val="00D86918"/>
    <w:rsid w:val="00D90FC4"/>
    <w:rsid w:val="00D91021"/>
    <w:rsid w:val="00D97C34"/>
    <w:rsid w:val="00DA2084"/>
    <w:rsid w:val="00DA2451"/>
    <w:rsid w:val="00DA39BE"/>
    <w:rsid w:val="00DA422B"/>
    <w:rsid w:val="00DA4D58"/>
    <w:rsid w:val="00DA7FAE"/>
    <w:rsid w:val="00DB12E6"/>
    <w:rsid w:val="00DB1474"/>
    <w:rsid w:val="00DB2231"/>
    <w:rsid w:val="00DB231C"/>
    <w:rsid w:val="00DB23A8"/>
    <w:rsid w:val="00DB5EB1"/>
    <w:rsid w:val="00DB6434"/>
    <w:rsid w:val="00DB69AC"/>
    <w:rsid w:val="00DB6EA4"/>
    <w:rsid w:val="00DC2CDF"/>
    <w:rsid w:val="00DC3ADA"/>
    <w:rsid w:val="00DC68A8"/>
    <w:rsid w:val="00DC760E"/>
    <w:rsid w:val="00DD0349"/>
    <w:rsid w:val="00DD0DF0"/>
    <w:rsid w:val="00DD2C64"/>
    <w:rsid w:val="00DD322D"/>
    <w:rsid w:val="00DD6B5B"/>
    <w:rsid w:val="00DE13B3"/>
    <w:rsid w:val="00DE213F"/>
    <w:rsid w:val="00DE331B"/>
    <w:rsid w:val="00DE3E9E"/>
    <w:rsid w:val="00DE43E8"/>
    <w:rsid w:val="00DE5C75"/>
    <w:rsid w:val="00DF1F96"/>
    <w:rsid w:val="00DF714A"/>
    <w:rsid w:val="00E01B8F"/>
    <w:rsid w:val="00E01C1D"/>
    <w:rsid w:val="00E03FD5"/>
    <w:rsid w:val="00E04A54"/>
    <w:rsid w:val="00E051B6"/>
    <w:rsid w:val="00E073A3"/>
    <w:rsid w:val="00E07AED"/>
    <w:rsid w:val="00E16E96"/>
    <w:rsid w:val="00E17CDD"/>
    <w:rsid w:val="00E20121"/>
    <w:rsid w:val="00E213A5"/>
    <w:rsid w:val="00E22C95"/>
    <w:rsid w:val="00E30B4F"/>
    <w:rsid w:val="00E31AD2"/>
    <w:rsid w:val="00E31B9F"/>
    <w:rsid w:val="00E331FE"/>
    <w:rsid w:val="00E33FE2"/>
    <w:rsid w:val="00E3456A"/>
    <w:rsid w:val="00E348AE"/>
    <w:rsid w:val="00E40061"/>
    <w:rsid w:val="00E411AF"/>
    <w:rsid w:val="00E43728"/>
    <w:rsid w:val="00E45F56"/>
    <w:rsid w:val="00E4681A"/>
    <w:rsid w:val="00E56E2B"/>
    <w:rsid w:val="00E57082"/>
    <w:rsid w:val="00E573CC"/>
    <w:rsid w:val="00E60DFD"/>
    <w:rsid w:val="00E61851"/>
    <w:rsid w:val="00E6200E"/>
    <w:rsid w:val="00E62425"/>
    <w:rsid w:val="00E62720"/>
    <w:rsid w:val="00E633C4"/>
    <w:rsid w:val="00E64DEA"/>
    <w:rsid w:val="00E65B27"/>
    <w:rsid w:val="00E70CD7"/>
    <w:rsid w:val="00E72755"/>
    <w:rsid w:val="00E75130"/>
    <w:rsid w:val="00E77CD8"/>
    <w:rsid w:val="00E825FC"/>
    <w:rsid w:val="00E83293"/>
    <w:rsid w:val="00E922E3"/>
    <w:rsid w:val="00E929D6"/>
    <w:rsid w:val="00E938F0"/>
    <w:rsid w:val="00E95EE3"/>
    <w:rsid w:val="00EA0AAD"/>
    <w:rsid w:val="00EA43CE"/>
    <w:rsid w:val="00EA4960"/>
    <w:rsid w:val="00EA6C7C"/>
    <w:rsid w:val="00EA73D8"/>
    <w:rsid w:val="00EA7AD1"/>
    <w:rsid w:val="00EB0E48"/>
    <w:rsid w:val="00EB661F"/>
    <w:rsid w:val="00EC06A3"/>
    <w:rsid w:val="00EC1A6E"/>
    <w:rsid w:val="00EC1BDA"/>
    <w:rsid w:val="00EC2E47"/>
    <w:rsid w:val="00EC3997"/>
    <w:rsid w:val="00EC46AE"/>
    <w:rsid w:val="00ED3E57"/>
    <w:rsid w:val="00ED790D"/>
    <w:rsid w:val="00ED7AE2"/>
    <w:rsid w:val="00EE01AF"/>
    <w:rsid w:val="00EE0987"/>
    <w:rsid w:val="00EE11DF"/>
    <w:rsid w:val="00EE4FA1"/>
    <w:rsid w:val="00EE5A57"/>
    <w:rsid w:val="00EF0798"/>
    <w:rsid w:val="00EF491C"/>
    <w:rsid w:val="00EF71E0"/>
    <w:rsid w:val="00EF72DE"/>
    <w:rsid w:val="00EF7CD8"/>
    <w:rsid w:val="00F00403"/>
    <w:rsid w:val="00F00A13"/>
    <w:rsid w:val="00F00D5A"/>
    <w:rsid w:val="00F03264"/>
    <w:rsid w:val="00F04830"/>
    <w:rsid w:val="00F056A8"/>
    <w:rsid w:val="00F0770E"/>
    <w:rsid w:val="00F11207"/>
    <w:rsid w:val="00F20512"/>
    <w:rsid w:val="00F21198"/>
    <w:rsid w:val="00F22691"/>
    <w:rsid w:val="00F22982"/>
    <w:rsid w:val="00F318E2"/>
    <w:rsid w:val="00F32742"/>
    <w:rsid w:val="00F32BF0"/>
    <w:rsid w:val="00F33374"/>
    <w:rsid w:val="00F33C46"/>
    <w:rsid w:val="00F33CC6"/>
    <w:rsid w:val="00F35F61"/>
    <w:rsid w:val="00F40271"/>
    <w:rsid w:val="00F425AD"/>
    <w:rsid w:val="00F435E4"/>
    <w:rsid w:val="00F52B7B"/>
    <w:rsid w:val="00F62E8E"/>
    <w:rsid w:val="00F64F12"/>
    <w:rsid w:val="00F659D4"/>
    <w:rsid w:val="00F70BE1"/>
    <w:rsid w:val="00F71C48"/>
    <w:rsid w:val="00F742B5"/>
    <w:rsid w:val="00F74A7E"/>
    <w:rsid w:val="00F75331"/>
    <w:rsid w:val="00F75B47"/>
    <w:rsid w:val="00F80737"/>
    <w:rsid w:val="00F825BC"/>
    <w:rsid w:val="00F83EDB"/>
    <w:rsid w:val="00F842B1"/>
    <w:rsid w:val="00F858FD"/>
    <w:rsid w:val="00F90E06"/>
    <w:rsid w:val="00F9274B"/>
    <w:rsid w:val="00F92A9E"/>
    <w:rsid w:val="00F94225"/>
    <w:rsid w:val="00F967B2"/>
    <w:rsid w:val="00FA343E"/>
    <w:rsid w:val="00FA5DBA"/>
    <w:rsid w:val="00FA723A"/>
    <w:rsid w:val="00FA7438"/>
    <w:rsid w:val="00FB1BD2"/>
    <w:rsid w:val="00FB67CA"/>
    <w:rsid w:val="00FB7854"/>
    <w:rsid w:val="00FC2188"/>
    <w:rsid w:val="00FC2853"/>
    <w:rsid w:val="00FC65F7"/>
    <w:rsid w:val="00FC6F5E"/>
    <w:rsid w:val="00FD2D3D"/>
    <w:rsid w:val="00FD73E9"/>
    <w:rsid w:val="00FD7FE4"/>
    <w:rsid w:val="00FE01C1"/>
    <w:rsid w:val="00FE0DD5"/>
    <w:rsid w:val="00FE34F8"/>
    <w:rsid w:val="00FE7132"/>
    <w:rsid w:val="00FF586A"/>
    <w:rsid w:val="00FF5D1A"/>
    <w:rsid w:val="00FF5E11"/>
    <w:rsid w:val="1BD20A5A"/>
    <w:rsid w:val="29957C9C"/>
    <w:rsid w:val="2ABE05CB"/>
    <w:rsid w:val="374E0E66"/>
    <w:rsid w:val="3804257F"/>
    <w:rsid w:val="3AE85FB2"/>
    <w:rsid w:val="473668A6"/>
    <w:rsid w:val="52CF03E9"/>
    <w:rsid w:val="6B762990"/>
    <w:rsid w:val="6F86526D"/>
    <w:rsid w:val="7482640B"/>
    <w:rsid w:val="78126828"/>
    <w:rsid w:val="7B7E584E"/>
    <w:rsid w:val="7CDE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qFormat="1"/>
    <w:lsdException w:name="Body Text Indent" w:qFormat="1"/>
    <w:lsdException w:name="Subtitle" w:qFormat="1"/>
    <w:lsdException w:name="Date" w:qFormat="1"/>
    <w:lsdException w:name="Body Text Indent 3" w:qFormat="1"/>
    <w:lsdException w:name="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Closing"/>
    <w:basedOn w:val="a"/>
    <w:qFormat/>
    <w:pPr>
      <w:ind w:leftChars="2100" w:left="100"/>
    </w:pPr>
    <w:rPr>
      <w:szCs w:val="24"/>
    </w:rPr>
  </w:style>
  <w:style w:type="paragraph" w:styleId="a6">
    <w:name w:val="Body Text Indent"/>
    <w:basedOn w:val="a"/>
    <w:qFormat/>
    <w:pPr>
      <w:spacing w:line="360" w:lineRule="auto"/>
      <w:ind w:firstLine="420"/>
    </w:pPr>
  </w:style>
  <w:style w:type="paragraph" w:styleId="a7">
    <w:name w:val="Plain Text"/>
    <w:basedOn w:val="a"/>
    <w:qFormat/>
    <w:rPr>
      <w:rFonts w:ascii="宋体" w:hAnsi="Courier New"/>
    </w:rPr>
  </w:style>
  <w:style w:type="paragraph" w:styleId="a8">
    <w:name w:val="Date"/>
    <w:basedOn w:val="a"/>
    <w:next w:val="a"/>
    <w:qFormat/>
  </w:style>
  <w:style w:type="paragraph" w:styleId="a9">
    <w:name w:val="Balloon Text"/>
    <w:basedOn w:val="a"/>
    <w:semiHidden/>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c">
    <w:name w:val="annotation subject"/>
    <w:basedOn w:val="a4"/>
    <w:next w:val="a4"/>
    <w:link w:val="Char3"/>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unhideWhenUsed/>
    <w:qFormat/>
    <w:rPr>
      <w:color w:val="0563C1"/>
      <w:u w:val="single"/>
    </w:rPr>
  </w:style>
  <w:style w:type="character" w:styleId="af0">
    <w:name w:val="annotation reference"/>
    <w:qFormat/>
    <w:rPr>
      <w:sz w:val="21"/>
      <w:szCs w:val="21"/>
    </w:rPr>
  </w:style>
  <w:style w:type="character" w:customStyle="1" w:styleId="Char">
    <w:name w:val="文档结构图 Char"/>
    <w:link w:val="a3"/>
    <w:qFormat/>
    <w:rPr>
      <w:rFonts w:ascii="宋体"/>
      <w:kern w:val="2"/>
      <w:sz w:val="18"/>
      <w:szCs w:val="18"/>
    </w:rPr>
  </w:style>
  <w:style w:type="character" w:customStyle="1" w:styleId="Char1">
    <w:name w:val="页脚 Char"/>
    <w:link w:val="aa"/>
    <w:uiPriority w:val="99"/>
    <w:qFormat/>
    <w:rPr>
      <w:kern w:val="2"/>
      <w:sz w:val="18"/>
      <w:szCs w:val="18"/>
    </w:rPr>
  </w:style>
  <w:style w:type="character" w:customStyle="1" w:styleId="Char0">
    <w:name w:val="批注文字 Char"/>
    <w:link w:val="a4"/>
    <w:qFormat/>
    <w:rPr>
      <w:kern w:val="2"/>
      <w:sz w:val="21"/>
    </w:rPr>
  </w:style>
  <w:style w:type="character" w:customStyle="1" w:styleId="title31">
    <w:name w:val="title31"/>
    <w:qFormat/>
    <w:rPr>
      <w:b/>
      <w:bCs/>
      <w:sz w:val="21"/>
      <w:szCs w:val="21"/>
    </w:rPr>
  </w:style>
  <w:style w:type="character" w:customStyle="1" w:styleId="Char2">
    <w:name w:val="页眉 Char"/>
    <w:link w:val="ab"/>
    <w:qFormat/>
    <w:rPr>
      <w:kern w:val="2"/>
      <w:sz w:val="18"/>
      <w:szCs w:val="18"/>
    </w:rPr>
  </w:style>
  <w:style w:type="character" w:customStyle="1" w:styleId="Char3">
    <w:name w:val="批注主题 Char"/>
    <w:link w:val="ac"/>
    <w:qFormat/>
    <w:rPr>
      <w:b/>
      <w:bCs/>
      <w:kern w:val="2"/>
      <w:sz w:val="21"/>
    </w:rPr>
  </w:style>
  <w:style w:type="paragraph" w:customStyle="1" w:styleId="af1">
    <w:name w:val="附注一级"/>
    <w:basedOn w:val="a"/>
    <w:qFormat/>
    <w:pPr>
      <w:tabs>
        <w:tab w:val="left" w:pos="714"/>
      </w:tabs>
      <w:adjustRightInd w:val="0"/>
      <w:snapToGrid w:val="0"/>
      <w:spacing w:line="360" w:lineRule="atLeast"/>
      <w:ind w:left="720" w:hanging="734"/>
      <w:outlineLvl w:val="0"/>
    </w:pPr>
    <w:rPr>
      <w:rFonts w:ascii="黑体" w:eastAsia="黑体" w:hAnsi="宋体"/>
      <w:b/>
      <w:szCs w:val="28"/>
    </w:rPr>
  </w:style>
  <w:style w:type="paragraph" w:customStyle="1" w:styleId="Char4">
    <w:name w:val="Char"/>
    <w:basedOn w:val="a"/>
    <w:qFormat/>
    <w:pPr>
      <w:widowControl/>
      <w:spacing w:after="160" w:line="240" w:lineRule="exact"/>
      <w:jc w:val="left"/>
    </w:pPr>
    <w:rPr>
      <w:rFonts w:ascii="Verdana" w:hAnsi="Verdana"/>
      <w:kern w:val="0"/>
      <w:sz w:val="20"/>
      <w:lang w:eastAsia="en-US"/>
    </w:rPr>
  </w:style>
  <w:style w:type="paragraph" w:styleId="af2">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qFormat="1"/>
    <w:lsdException w:name="Body Text Indent" w:qFormat="1"/>
    <w:lsdException w:name="Subtitle" w:qFormat="1"/>
    <w:lsdException w:name="Date" w:qFormat="1"/>
    <w:lsdException w:name="Body Text Indent 3" w:qFormat="1"/>
    <w:lsdException w:name="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Closing"/>
    <w:basedOn w:val="a"/>
    <w:qFormat/>
    <w:pPr>
      <w:ind w:leftChars="2100" w:left="100"/>
    </w:pPr>
    <w:rPr>
      <w:szCs w:val="24"/>
    </w:rPr>
  </w:style>
  <w:style w:type="paragraph" w:styleId="a6">
    <w:name w:val="Body Text Indent"/>
    <w:basedOn w:val="a"/>
    <w:qFormat/>
    <w:pPr>
      <w:spacing w:line="360" w:lineRule="auto"/>
      <w:ind w:firstLine="420"/>
    </w:pPr>
  </w:style>
  <w:style w:type="paragraph" w:styleId="a7">
    <w:name w:val="Plain Text"/>
    <w:basedOn w:val="a"/>
    <w:qFormat/>
    <w:rPr>
      <w:rFonts w:ascii="宋体" w:hAnsi="Courier New"/>
    </w:rPr>
  </w:style>
  <w:style w:type="paragraph" w:styleId="a8">
    <w:name w:val="Date"/>
    <w:basedOn w:val="a"/>
    <w:next w:val="a"/>
    <w:qFormat/>
  </w:style>
  <w:style w:type="paragraph" w:styleId="a9">
    <w:name w:val="Balloon Text"/>
    <w:basedOn w:val="a"/>
    <w:semiHidden/>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c">
    <w:name w:val="annotation subject"/>
    <w:basedOn w:val="a4"/>
    <w:next w:val="a4"/>
    <w:link w:val="Char3"/>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unhideWhenUsed/>
    <w:qFormat/>
    <w:rPr>
      <w:color w:val="0563C1"/>
      <w:u w:val="single"/>
    </w:rPr>
  </w:style>
  <w:style w:type="character" w:styleId="af0">
    <w:name w:val="annotation reference"/>
    <w:qFormat/>
    <w:rPr>
      <w:sz w:val="21"/>
      <w:szCs w:val="21"/>
    </w:rPr>
  </w:style>
  <w:style w:type="character" w:customStyle="1" w:styleId="Char">
    <w:name w:val="文档结构图 Char"/>
    <w:link w:val="a3"/>
    <w:qFormat/>
    <w:rPr>
      <w:rFonts w:ascii="宋体"/>
      <w:kern w:val="2"/>
      <w:sz w:val="18"/>
      <w:szCs w:val="18"/>
    </w:rPr>
  </w:style>
  <w:style w:type="character" w:customStyle="1" w:styleId="Char1">
    <w:name w:val="页脚 Char"/>
    <w:link w:val="aa"/>
    <w:uiPriority w:val="99"/>
    <w:qFormat/>
    <w:rPr>
      <w:kern w:val="2"/>
      <w:sz w:val="18"/>
      <w:szCs w:val="18"/>
    </w:rPr>
  </w:style>
  <w:style w:type="character" w:customStyle="1" w:styleId="Char0">
    <w:name w:val="批注文字 Char"/>
    <w:link w:val="a4"/>
    <w:qFormat/>
    <w:rPr>
      <w:kern w:val="2"/>
      <w:sz w:val="21"/>
    </w:rPr>
  </w:style>
  <w:style w:type="character" w:customStyle="1" w:styleId="title31">
    <w:name w:val="title31"/>
    <w:qFormat/>
    <w:rPr>
      <w:b/>
      <w:bCs/>
      <w:sz w:val="21"/>
      <w:szCs w:val="21"/>
    </w:rPr>
  </w:style>
  <w:style w:type="character" w:customStyle="1" w:styleId="Char2">
    <w:name w:val="页眉 Char"/>
    <w:link w:val="ab"/>
    <w:qFormat/>
    <w:rPr>
      <w:kern w:val="2"/>
      <w:sz w:val="18"/>
      <w:szCs w:val="18"/>
    </w:rPr>
  </w:style>
  <w:style w:type="character" w:customStyle="1" w:styleId="Char3">
    <w:name w:val="批注主题 Char"/>
    <w:link w:val="ac"/>
    <w:qFormat/>
    <w:rPr>
      <w:b/>
      <w:bCs/>
      <w:kern w:val="2"/>
      <w:sz w:val="21"/>
    </w:rPr>
  </w:style>
  <w:style w:type="paragraph" w:customStyle="1" w:styleId="af1">
    <w:name w:val="附注一级"/>
    <w:basedOn w:val="a"/>
    <w:qFormat/>
    <w:pPr>
      <w:tabs>
        <w:tab w:val="left" w:pos="714"/>
      </w:tabs>
      <w:adjustRightInd w:val="0"/>
      <w:snapToGrid w:val="0"/>
      <w:spacing w:line="360" w:lineRule="atLeast"/>
      <w:ind w:left="720" w:hanging="734"/>
      <w:outlineLvl w:val="0"/>
    </w:pPr>
    <w:rPr>
      <w:rFonts w:ascii="黑体" w:eastAsia="黑体" w:hAnsi="宋体"/>
      <w:b/>
      <w:szCs w:val="28"/>
    </w:rPr>
  </w:style>
  <w:style w:type="paragraph" w:customStyle="1" w:styleId="Char4">
    <w:name w:val="Char"/>
    <w:basedOn w:val="a"/>
    <w:qFormat/>
    <w:pPr>
      <w:widowControl/>
      <w:spacing w:after="160" w:line="240" w:lineRule="exact"/>
      <w:jc w:val="left"/>
    </w:pPr>
    <w:rPr>
      <w:rFonts w:ascii="Verdana" w:hAnsi="Verdana"/>
      <w:kern w:val="0"/>
      <w:sz w:val="20"/>
      <w:lang w:eastAsia="en-US"/>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D3F1-A90B-4256-97AD-998A0D4B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3959</Words>
  <Characters>1382</Characters>
  <Application>Microsoft Office Word</Application>
  <DocSecurity>0</DocSecurity>
  <Lines>11</Lines>
  <Paragraphs>10</Paragraphs>
  <ScaleCrop>false</ScaleCrop>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关于下发《前次募集资金使用情况的审核程序》的通知</dc:title>
  <dc:creator>as</dc:creator>
  <cp:lastModifiedBy>孙献</cp:lastModifiedBy>
  <cp:revision>3</cp:revision>
  <cp:lastPrinted>2011-02-23T02:40:00Z</cp:lastPrinted>
  <dcterms:created xsi:type="dcterms:W3CDTF">2022-08-24T02:03:00Z</dcterms:created>
  <dcterms:modified xsi:type="dcterms:W3CDTF">2022-08-24T04:05:00Z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mmondata">
    <vt:lpwstr>eyJoZGlkIjoiZmVlODgwMGZhNTM5OWRhMWFkZTAyNGE2ZGFjZmQwMmMifQ==</vt:lpwstr>
  </property>
  <property fmtid="{D5CDD505-2E9C-101B-9397-08002B2CF9AE}" pid="4" name="ICV">
    <vt:lpwstr>7A09296001394BC384A62F08D53AB7EB</vt:lpwstr>
  </property>
</Properties>
</file>