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24" w:rsidRPr="00E33E19" w:rsidRDefault="00A41C24" w:rsidP="00E33E19">
      <w:pPr>
        <w:spacing w:line="360" w:lineRule="auto"/>
        <w:ind w:firstLineChars="118" w:firstLine="426"/>
        <w:jc w:val="center"/>
        <w:rPr>
          <w:rFonts w:asciiTheme="minorEastAsia" w:hAnsiTheme="minorEastAsia"/>
          <w:b/>
          <w:sz w:val="36"/>
          <w:szCs w:val="28"/>
        </w:rPr>
      </w:pPr>
      <w:r w:rsidRPr="00E33E19">
        <w:rPr>
          <w:rFonts w:asciiTheme="minorEastAsia" w:hAnsiTheme="minorEastAsia" w:hint="eastAsia"/>
          <w:b/>
          <w:sz w:val="36"/>
          <w:szCs w:val="28"/>
        </w:rPr>
        <w:t>华孚时尚股份有限公司</w:t>
      </w:r>
    </w:p>
    <w:p w:rsidR="00A41C24" w:rsidRPr="00E33E19" w:rsidRDefault="00A41C24" w:rsidP="00E33E19">
      <w:pPr>
        <w:spacing w:line="360" w:lineRule="auto"/>
        <w:ind w:firstLineChars="118" w:firstLine="426"/>
        <w:jc w:val="center"/>
        <w:rPr>
          <w:rFonts w:asciiTheme="minorEastAsia" w:hAnsiTheme="minorEastAsia"/>
          <w:b/>
          <w:sz w:val="36"/>
          <w:szCs w:val="28"/>
        </w:rPr>
      </w:pPr>
      <w:r w:rsidRPr="00E33E19">
        <w:rPr>
          <w:rFonts w:asciiTheme="minorEastAsia" w:hAnsiTheme="minorEastAsia" w:hint="eastAsia"/>
          <w:b/>
          <w:sz w:val="36"/>
          <w:szCs w:val="28"/>
        </w:rPr>
        <w:t>20</w:t>
      </w:r>
      <w:r w:rsidR="00423269" w:rsidRPr="00E33E19">
        <w:rPr>
          <w:rFonts w:asciiTheme="minorEastAsia" w:hAnsiTheme="minorEastAsia" w:hint="eastAsia"/>
          <w:b/>
          <w:sz w:val="36"/>
          <w:szCs w:val="28"/>
        </w:rPr>
        <w:t>2</w:t>
      </w:r>
      <w:r w:rsidR="006B51A3" w:rsidRPr="00E33E19">
        <w:rPr>
          <w:rFonts w:asciiTheme="minorEastAsia" w:hAnsiTheme="minorEastAsia" w:hint="eastAsia"/>
          <w:b/>
          <w:sz w:val="36"/>
          <w:szCs w:val="28"/>
        </w:rPr>
        <w:t>1</w:t>
      </w:r>
      <w:r w:rsidRPr="00E33E19">
        <w:rPr>
          <w:rFonts w:asciiTheme="minorEastAsia" w:hAnsiTheme="minorEastAsia" w:hint="eastAsia"/>
          <w:b/>
          <w:sz w:val="36"/>
          <w:szCs w:val="28"/>
        </w:rPr>
        <w:t>年度内部控制评价报告</w:t>
      </w:r>
    </w:p>
    <w:p w:rsidR="00A41C24" w:rsidRPr="00E33E19" w:rsidRDefault="00A41C24" w:rsidP="00A41C24">
      <w:pPr>
        <w:spacing w:line="360" w:lineRule="auto"/>
        <w:rPr>
          <w:rFonts w:asciiTheme="minorEastAsia" w:hAnsiTheme="minorEastAsia"/>
          <w:b/>
          <w:sz w:val="28"/>
          <w:szCs w:val="28"/>
        </w:rPr>
      </w:pPr>
    </w:p>
    <w:p w:rsidR="00A41C24" w:rsidRPr="00E33E19" w:rsidRDefault="00A41C24" w:rsidP="00BD1FEB">
      <w:pPr>
        <w:spacing w:line="500" w:lineRule="exact"/>
        <w:rPr>
          <w:rFonts w:asciiTheme="minorEastAsia" w:hAnsiTheme="minorEastAsia"/>
          <w:b/>
          <w:sz w:val="24"/>
          <w:szCs w:val="24"/>
        </w:rPr>
      </w:pPr>
      <w:r w:rsidRPr="00E33E19">
        <w:rPr>
          <w:rFonts w:asciiTheme="minorEastAsia" w:hAnsiTheme="minorEastAsia" w:hint="eastAsia"/>
          <w:b/>
          <w:sz w:val="24"/>
          <w:szCs w:val="24"/>
        </w:rPr>
        <w:t>华孚时尚股份有限公司全体股东：</w:t>
      </w:r>
      <w:bookmarkStart w:id="0" w:name="_GoBack"/>
      <w:bookmarkEnd w:id="0"/>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20</w:t>
      </w:r>
      <w:r w:rsidR="00423269" w:rsidRPr="00E33E19">
        <w:rPr>
          <w:rFonts w:asciiTheme="minorEastAsia" w:hAnsiTheme="minorEastAsia" w:hint="eastAsia"/>
          <w:sz w:val="24"/>
          <w:szCs w:val="24"/>
        </w:rPr>
        <w:t>2</w:t>
      </w:r>
      <w:r w:rsidR="006B51A3" w:rsidRPr="00E33E19">
        <w:rPr>
          <w:rFonts w:asciiTheme="minorEastAsia" w:hAnsiTheme="minorEastAsia" w:hint="eastAsia"/>
          <w:sz w:val="24"/>
          <w:szCs w:val="24"/>
        </w:rPr>
        <w:t>1</w:t>
      </w:r>
      <w:r w:rsidRPr="00E33E19">
        <w:rPr>
          <w:rFonts w:asciiTheme="minorEastAsia" w:hAnsiTheme="minorEastAsia" w:hint="eastAsia"/>
          <w:sz w:val="24"/>
          <w:szCs w:val="24"/>
        </w:rPr>
        <w:t>年12月31日（内部控制评价报告基准日）的内部控制有效性进行了评价。</w:t>
      </w:r>
    </w:p>
    <w:p w:rsidR="00A41C24" w:rsidRPr="00E33E19" w:rsidRDefault="00A41C24" w:rsidP="00BD1FEB">
      <w:pPr>
        <w:spacing w:line="50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t>一、重要声明</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按照企业内部控制规范体系的规定，建立健全和有效实施内部控制，评价其有效性，并如实披露内部控制评价报告是公司董事会的责任。监事会对董事会建立和实施内部控制进行监督。经理</w:t>
      </w:r>
      <w:proofErr w:type="gramStart"/>
      <w:r w:rsidRPr="00E33E19">
        <w:rPr>
          <w:rFonts w:asciiTheme="minorEastAsia" w:hAnsiTheme="minorEastAsia" w:hint="eastAsia"/>
          <w:sz w:val="24"/>
          <w:szCs w:val="24"/>
        </w:rPr>
        <w:t>层负责</w:t>
      </w:r>
      <w:proofErr w:type="gramEnd"/>
      <w:r w:rsidRPr="00E33E19">
        <w:rPr>
          <w:rFonts w:asciiTheme="minorEastAsia" w:hAnsiTheme="minorEastAsia" w:hint="eastAsia"/>
          <w:sz w:val="24"/>
          <w:szCs w:val="24"/>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公司内部控制的目标是合理保证经营管理合法合</w:t>
      </w:r>
      <w:proofErr w:type="gramStart"/>
      <w:r w:rsidRPr="00E33E19">
        <w:rPr>
          <w:rFonts w:asciiTheme="minorEastAsia" w:hAnsiTheme="minorEastAsia" w:hint="eastAsia"/>
          <w:sz w:val="24"/>
          <w:szCs w:val="24"/>
        </w:rPr>
        <w:t>规</w:t>
      </w:r>
      <w:proofErr w:type="gramEnd"/>
      <w:r w:rsidRPr="00E33E19">
        <w:rPr>
          <w:rFonts w:asciiTheme="minorEastAsia" w:hAnsiTheme="minorEastAsia" w:hint="eastAsia"/>
          <w:sz w:val="24"/>
          <w:szCs w:val="24"/>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A41C24" w:rsidRPr="00E33E19" w:rsidRDefault="00A41C24" w:rsidP="00BD1FEB">
      <w:pPr>
        <w:spacing w:line="50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t>二、内部控制评价结论</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根据公司非财务报告内部控制重大缺陷认定情况，于内部控制评价报告基准日，公司未发现非财务报告内部控制重大缺陷。</w:t>
      </w:r>
      <w:proofErr w:type="gramStart"/>
      <w:r w:rsidRPr="00E33E19">
        <w:rPr>
          <w:rFonts w:asciiTheme="minorEastAsia" w:hAnsiTheme="minorEastAsia" w:hint="eastAsia"/>
          <w:sz w:val="24"/>
          <w:szCs w:val="24"/>
        </w:rPr>
        <w:t>自内部</w:t>
      </w:r>
      <w:proofErr w:type="gramEnd"/>
      <w:r w:rsidRPr="00E33E19">
        <w:rPr>
          <w:rFonts w:asciiTheme="minorEastAsia" w:hAnsiTheme="minorEastAsia" w:hint="eastAsia"/>
          <w:sz w:val="24"/>
          <w:szCs w:val="24"/>
        </w:rPr>
        <w:t>控制评价报告基准日至内部控制评价报告发出日之间未发生影响内部控制有效性评价结论的因素。</w:t>
      </w:r>
    </w:p>
    <w:p w:rsidR="00A41C24" w:rsidRPr="00E33E19" w:rsidRDefault="00A41C24" w:rsidP="00BD1FEB">
      <w:pPr>
        <w:spacing w:line="50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lastRenderedPageBreak/>
        <w:t>三、内部控制评价工作情况</w:t>
      </w:r>
    </w:p>
    <w:p w:rsidR="00A41C24" w:rsidRPr="00E33E19" w:rsidRDefault="00A41C24" w:rsidP="00BD1FEB">
      <w:pPr>
        <w:spacing w:line="50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t xml:space="preserve">（一）内部控制评价范围 </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按照风险导向原则确定纳入评价范围的主要单位、业务和事项以及高风险领域。纳入评价范围的主要单位包括：华孚时尚股份有限公司本部、深圳市华孚进出口有限公司、香港华孚贸易有限公司、浙江华孚色纺有限公司、宁波华孚东</w:t>
      </w:r>
      <w:proofErr w:type="gramStart"/>
      <w:r w:rsidRPr="00E33E19">
        <w:rPr>
          <w:rFonts w:asciiTheme="minorEastAsia" w:hAnsiTheme="minorEastAsia" w:hint="eastAsia"/>
          <w:sz w:val="24"/>
          <w:szCs w:val="24"/>
        </w:rPr>
        <w:t>浩</w:t>
      </w:r>
      <w:proofErr w:type="gramEnd"/>
      <w:r w:rsidRPr="00E33E19">
        <w:rPr>
          <w:rFonts w:asciiTheme="minorEastAsia" w:hAnsiTheme="minorEastAsia" w:hint="eastAsia"/>
          <w:sz w:val="24"/>
          <w:szCs w:val="24"/>
        </w:rPr>
        <w:t>实业有限公司、阿克苏华孚色纺有限公司、九江中</w:t>
      </w:r>
      <w:proofErr w:type="gramStart"/>
      <w:r w:rsidRPr="00E33E19">
        <w:rPr>
          <w:rFonts w:asciiTheme="minorEastAsia" w:hAnsiTheme="minorEastAsia" w:hint="eastAsia"/>
          <w:sz w:val="24"/>
          <w:szCs w:val="24"/>
        </w:rPr>
        <w:t>浩</w:t>
      </w:r>
      <w:proofErr w:type="gramEnd"/>
      <w:r w:rsidRPr="00E33E19">
        <w:rPr>
          <w:rFonts w:asciiTheme="minorEastAsia" w:hAnsiTheme="minorEastAsia" w:hint="eastAsia"/>
          <w:sz w:val="24"/>
          <w:szCs w:val="24"/>
        </w:rPr>
        <w:t>纺织有限公司、华孚澳门离岸商业服务有限公司、</w:t>
      </w:r>
      <w:proofErr w:type="gramStart"/>
      <w:r w:rsidRPr="00E33E19">
        <w:rPr>
          <w:rFonts w:asciiTheme="minorEastAsia" w:hAnsiTheme="minorEastAsia" w:hint="eastAsia"/>
          <w:sz w:val="24"/>
          <w:szCs w:val="24"/>
        </w:rPr>
        <w:t>新疆六孚纺织工业</w:t>
      </w:r>
      <w:proofErr w:type="gramEnd"/>
      <w:r w:rsidRPr="00E33E19">
        <w:rPr>
          <w:rFonts w:asciiTheme="minorEastAsia" w:hAnsiTheme="minorEastAsia" w:hint="eastAsia"/>
          <w:sz w:val="24"/>
          <w:szCs w:val="24"/>
        </w:rPr>
        <w:t>园有限公司、</w:t>
      </w:r>
      <w:proofErr w:type="gramStart"/>
      <w:r w:rsidRPr="00E33E19">
        <w:rPr>
          <w:rFonts w:asciiTheme="minorEastAsia" w:hAnsiTheme="minorEastAsia" w:hint="eastAsia"/>
          <w:sz w:val="24"/>
          <w:szCs w:val="24"/>
        </w:rPr>
        <w:t>奎屯锦孚纺织</w:t>
      </w:r>
      <w:proofErr w:type="gramEnd"/>
      <w:r w:rsidRPr="00E33E19">
        <w:rPr>
          <w:rFonts w:asciiTheme="minorEastAsia" w:hAnsiTheme="minorEastAsia" w:hint="eastAsia"/>
          <w:sz w:val="24"/>
          <w:szCs w:val="24"/>
        </w:rPr>
        <w:t>有限公司、浙江昇孚贸易有限公司、华孚(越南)实业独资有限公司；纳入评价范围的主要业务和事项包括:公司治理层面：组织架构、发展战略、人力资源、社会责任、企业文化、风险评估、信息沟通、内部监督和自我评价、舞弊风险控制与应对。业务流程层面:资金活动、采购业务、资产管理、销售业务、研究开发、工程项目、担保业务、关联方及其交易、法律事务、财务报告、预算管理、合同管理、内部信息传递、信息系统。重点关注产品市场占有率保持增长的风险；原材料采购中市场价格波动的风险；新产品研发及推广的风险；工程建设支出、存货管理和资金管理等高风险领域。</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上述纳入评价范围的单位、业务和事项以及高风险领域涵盖了公司经营管理的主要方面，不存在重大遗漏。</w:t>
      </w:r>
    </w:p>
    <w:p w:rsidR="00A41C24" w:rsidRPr="00E33E19" w:rsidRDefault="00A41C24" w:rsidP="00BD1FEB">
      <w:pPr>
        <w:spacing w:line="50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t xml:space="preserve">（二)内部控制评价工作依据及内部控制缺陷认定标准 </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公司依据企业内部控制规范体系及《对控股子公司的内部控制制度》、《风险管理程序》等相关具体规范以及本公司的实际情况组织开展内部控制评价工作。</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公司确定的内部控制缺陷认定标准如下：</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1.财务报告内部控制缺陷认定标准 </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公司确定的财务报告内部控制缺陷评价的定量标准如下：</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定量标准以营业收入、资产总额作为衡量指标。 </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内部控制缺陷可能导致或导致的损失与利润</w:t>
      </w:r>
      <w:proofErr w:type="gramStart"/>
      <w:r w:rsidRPr="00E33E19">
        <w:rPr>
          <w:rFonts w:asciiTheme="minorEastAsia" w:hAnsiTheme="minorEastAsia" w:hint="eastAsia"/>
          <w:sz w:val="24"/>
          <w:szCs w:val="24"/>
        </w:rPr>
        <w:t>表相关</w:t>
      </w:r>
      <w:proofErr w:type="gramEnd"/>
      <w:r w:rsidRPr="00E33E19">
        <w:rPr>
          <w:rFonts w:asciiTheme="minorEastAsia" w:hAnsiTheme="minorEastAsia" w:hint="eastAsia"/>
          <w:sz w:val="24"/>
          <w:szCs w:val="24"/>
        </w:rPr>
        <w:t>的，以营业收入指标衡量。如果该缺陷单独或连同其他缺陷可能导致的财务报告错报金额小于营业收入的0.5%，则认定为一般缺陷；如果超过营业收入的0.5%但小于1%，则为重要缺陷；如果超过营业收入的1%，则认定为重大缺陷。</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内部控制缺陷可能导致或导致的损失与资产管理相关的，以资产总额指标衡量。如果该缺陷单独或连同其他缺陷可能导致的财务报告错报金额小于资产总额的0.5%，则认定为一般缺陷；如果超过资产总额的0.5%但小于1%认定为重要缺陷；如果超过资产总额1%，则认定为重大缺陷。</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公司确定的财务报告内部控制缺陷评价的定性标准如下：</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1、重大缺陷：单独缺陷或连同其他缺陷导致不能及时防止或发 </w:t>
      </w:r>
      <w:proofErr w:type="gramStart"/>
      <w:r w:rsidRPr="00E33E19">
        <w:rPr>
          <w:rFonts w:asciiTheme="minorEastAsia" w:hAnsiTheme="minorEastAsia" w:hint="eastAsia"/>
          <w:sz w:val="24"/>
          <w:szCs w:val="24"/>
        </w:rPr>
        <w:t>现并纠正</w:t>
      </w:r>
      <w:proofErr w:type="gramEnd"/>
      <w:r w:rsidRPr="00E33E19">
        <w:rPr>
          <w:rFonts w:asciiTheme="minorEastAsia" w:hAnsiTheme="minorEastAsia" w:hint="eastAsia"/>
          <w:sz w:val="24"/>
          <w:szCs w:val="24"/>
        </w:rPr>
        <w:t>财务报告中的重大错报。出现下列情形的，认定为重大缺陷：</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(1)控制环境无效；</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(2)董事、监事和高级管理人员舞弊行为；</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(3)公司更正已经公布的财务报告；</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(4)外部审计发现当期财务报告存在重大错报，公司在运行过程 中未能发现该错报；</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(5)已经发现并报告给管理层的重大缺陷在合理的时间后未加 以改正；</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(6)公司审计委员会和内部审计部对内部控制的监督无效；</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(7)其他可能影响报表使用者正确判断的缺陷。</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2、重要缺陷：单独缺陷或连同其他缺陷导致不能及时防止或发 </w:t>
      </w:r>
      <w:proofErr w:type="gramStart"/>
      <w:r w:rsidRPr="00E33E19">
        <w:rPr>
          <w:rFonts w:asciiTheme="minorEastAsia" w:hAnsiTheme="minorEastAsia" w:hint="eastAsia"/>
          <w:sz w:val="24"/>
          <w:szCs w:val="24"/>
        </w:rPr>
        <w:t>现并纠正</w:t>
      </w:r>
      <w:proofErr w:type="gramEnd"/>
      <w:r w:rsidRPr="00E33E19">
        <w:rPr>
          <w:rFonts w:asciiTheme="minorEastAsia" w:hAnsiTheme="minorEastAsia" w:hint="eastAsia"/>
          <w:sz w:val="24"/>
          <w:szCs w:val="24"/>
        </w:rPr>
        <w:t>财务报告中虽然未达到和超过重要性水平，仍应引起管理层重视的错报。</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3、一般缺陷：不构成重大缺陷或重要缺陷的其他内部控制缺陷。</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2.非财务报告内部控制缺陷认定标准 </w:t>
      </w:r>
    </w:p>
    <w:p w:rsidR="00A41C24" w:rsidRPr="00E33E19" w:rsidRDefault="00A41C24" w:rsidP="00BD1FEB">
      <w:pPr>
        <w:spacing w:line="50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公司确定的非财务报告内部控制缺陷评价的定量标准如下：</w:t>
      </w:r>
    </w:p>
    <w:tbl>
      <w:tblPr>
        <w:tblW w:w="0" w:type="auto"/>
        <w:tblInd w:w="109" w:type="dxa"/>
        <w:tblCellMar>
          <w:left w:w="0" w:type="dxa"/>
          <w:right w:w="0" w:type="dxa"/>
        </w:tblCellMar>
        <w:tblLook w:val="01E0" w:firstRow="1" w:lastRow="1" w:firstColumn="1" w:lastColumn="1" w:noHBand="0" w:noVBand="0"/>
      </w:tblPr>
      <w:tblGrid>
        <w:gridCol w:w="1030"/>
        <w:gridCol w:w="3261"/>
        <w:gridCol w:w="3916"/>
      </w:tblGrid>
      <w:tr w:rsidR="00E33E19" w:rsidRPr="00E33E19" w:rsidTr="00BD1FEB">
        <w:trPr>
          <w:trHeight w:hRule="exact" w:val="490"/>
        </w:trPr>
        <w:tc>
          <w:tcPr>
            <w:tcW w:w="1030" w:type="dxa"/>
            <w:tcBorders>
              <w:top w:val="nil"/>
              <w:left w:val="single" w:sz="4" w:space="0" w:color="000000"/>
              <w:bottom w:val="single" w:sz="4" w:space="0" w:color="000000"/>
              <w:right w:val="single" w:sz="4" w:space="0" w:color="000000"/>
            </w:tcBorders>
            <w:shd w:val="clear" w:color="auto" w:fill="959595"/>
            <w:vAlign w:val="center"/>
          </w:tcPr>
          <w:p w:rsidR="00A41C24" w:rsidRPr="00E33E19" w:rsidRDefault="00A41C24" w:rsidP="00BD1FEB">
            <w:pPr>
              <w:spacing w:before="50"/>
              <w:ind w:left="102" w:right="-20"/>
              <w:jc w:val="center"/>
              <w:rPr>
                <w:rFonts w:ascii="宋体" w:eastAsia="宋体" w:hAnsi="宋体" w:cs="宋体"/>
                <w:kern w:val="0"/>
                <w:szCs w:val="21"/>
                <w:lang w:eastAsia="en-US"/>
              </w:rPr>
            </w:pPr>
            <w:proofErr w:type="spellStart"/>
            <w:r w:rsidRPr="00E33E19">
              <w:rPr>
                <w:rFonts w:ascii="宋体" w:eastAsia="宋体" w:hAnsi="宋体" w:cs="宋体" w:hint="eastAsia"/>
                <w:spacing w:val="1"/>
                <w:kern w:val="0"/>
                <w:szCs w:val="21"/>
                <w:lang w:eastAsia="en-US"/>
              </w:rPr>
              <w:t>缺</w:t>
            </w:r>
            <w:r w:rsidRPr="00E33E19">
              <w:rPr>
                <w:rFonts w:ascii="宋体" w:eastAsia="宋体" w:hAnsi="宋体" w:cs="宋体" w:hint="eastAsia"/>
                <w:kern w:val="0"/>
                <w:szCs w:val="21"/>
                <w:lang w:eastAsia="en-US"/>
              </w:rPr>
              <w:t>陷认定</w:t>
            </w:r>
            <w:proofErr w:type="spellEnd"/>
          </w:p>
        </w:tc>
        <w:tc>
          <w:tcPr>
            <w:tcW w:w="3261" w:type="dxa"/>
            <w:tcBorders>
              <w:top w:val="nil"/>
              <w:left w:val="single" w:sz="4" w:space="0" w:color="000000"/>
              <w:bottom w:val="single" w:sz="4" w:space="0" w:color="000000"/>
              <w:right w:val="single" w:sz="4" w:space="0" w:color="000000"/>
            </w:tcBorders>
            <w:shd w:val="clear" w:color="auto" w:fill="959595"/>
            <w:vAlign w:val="center"/>
          </w:tcPr>
          <w:p w:rsidR="00A41C24" w:rsidRPr="00E33E19" w:rsidRDefault="00A41C24" w:rsidP="00BD1FEB">
            <w:pPr>
              <w:spacing w:before="50"/>
              <w:ind w:right="-20" w:firstLineChars="150" w:firstLine="318"/>
              <w:jc w:val="center"/>
              <w:rPr>
                <w:rFonts w:ascii="宋体" w:eastAsia="宋体" w:hAnsi="宋体" w:cs="宋体"/>
                <w:kern w:val="0"/>
                <w:szCs w:val="21"/>
                <w:lang w:eastAsia="en-US"/>
              </w:rPr>
            </w:pPr>
            <w:proofErr w:type="spellStart"/>
            <w:r w:rsidRPr="00E33E19">
              <w:rPr>
                <w:rFonts w:ascii="宋体" w:eastAsia="宋体" w:hAnsi="宋体" w:cs="宋体" w:hint="eastAsia"/>
                <w:spacing w:val="1"/>
                <w:kern w:val="0"/>
                <w:szCs w:val="21"/>
                <w:lang w:eastAsia="en-US"/>
              </w:rPr>
              <w:t>直</w:t>
            </w:r>
            <w:r w:rsidRPr="00E33E19">
              <w:rPr>
                <w:rFonts w:ascii="宋体" w:eastAsia="宋体" w:hAnsi="宋体" w:cs="宋体" w:hint="eastAsia"/>
                <w:kern w:val="0"/>
                <w:szCs w:val="21"/>
                <w:lang w:eastAsia="en-US"/>
              </w:rPr>
              <w:t>接财</w:t>
            </w:r>
            <w:r w:rsidRPr="00E33E19">
              <w:rPr>
                <w:rFonts w:ascii="宋体" w:eastAsia="宋体" w:hAnsi="宋体" w:cs="宋体" w:hint="eastAsia"/>
                <w:spacing w:val="1"/>
                <w:kern w:val="0"/>
                <w:szCs w:val="21"/>
                <w:lang w:eastAsia="en-US"/>
              </w:rPr>
              <w:t>产</w:t>
            </w:r>
            <w:r w:rsidRPr="00E33E19">
              <w:rPr>
                <w:rFonts w:ascii="宋体" w:eastAsia="宋体" w:hAnsi="宋体" w:cs="宋体" w:hint="eastAsia"/>
                <w:kern w:val="0"/>
                <w:szCs w:val="21"/>
                <w:lang w:eastAsia="en-US"/>
              </w:rPr>
              <w:t>损失</w:t>
            </w:r>
            <w:r w:rsidRPr="00E33E19">
              <w:rPr>
                <w:rFonts w:ascii="宋体" w:eastAsia="宋体" w:hAnsi="宋体" w:cs="宋体" w:hint="eastAsia"/>
                <w:spacing w:val="1"/>
                <w:kern w:val="0"/>
                <w:szCs w:val="21"/>
                <w:lang w:eastAsia="en-US"/>
              </w:rPr>
              <w:t>金</w:t>
            </w:r>
            <w:r w:rsidRPr="00E33E19">
              <w:rPr>
                <w:rFonts w:ascii="宋体" w:eastAsia="宋体" w:hAnsi="宋体" w:cs="宋体" w:hint="eastAsia"/>
                <w:kern w:val="0"/>
                <w:szCs w:val="21"/>
                <w:lang w:eastAsia="en-US"/>
              </w:rPr>
              <w:t>额</w:t>
            </w:r>
            <w:proofErr w:type="spellEnd"/>
          </w:p>
        </w:tc>
        <w:tc>
          <w:tcPr>
            <w:tcW w:w="3916" w:type="dxa"/>
            <w:tcBorders>
              <w:top w:val="nil"/>
              <w:left w:val="single" w:sz="4" w:space="0" w:color="000000"/>
              <w:bottom w:val="single" w:sz="4" w:space="0" w:color="000000"/>
              <w:right w:val="single" w:sz="4" w:space="0" w:color="000000"/>
            </w:tcBorders>
            <w:shd w:val="clear" w:color="auto" w:fill="959595"/>
            <w:vAlign w:val="center"/>
          </w:tcPr>
          <w:p w:rsidR="00A41C24" w:rsidRPr="00E33E19" w:rsidRDefault="00A41C24" w:rsidP="00BD1FEB">
            <w:pPr>
              <w:spacing w:before="50"/>
              <w:ind w:left="1198" w:right="1181"/>
              <w:jc w:val="center"/>
              <w:rPr>
                <w:rFonts w:ascii="宋体" w:eastAsia="宋体" w:hAnsi="宋体" w:cs="宋体"/>
                <w:kern w:val="0"/>
                <w:szCs w:val="21"/>
                <w:lang w:eastAsia="en-US"/>
              </w:rPr>
            </w:pPr>
            <w:proofErr w:type="spellStart"/>
            <w:r w:rsidRPr="00E33E19">
              <w:rPr>
                <w:rFonts w:ascii="宋体" w:eastAsia="宋体" w:hAnsi="宋体" w:cs="宋体" w:hint="eastAsia"/>
                <w:spacing w:val="1"/>
                <w:kern w:val="0"/>
                <w:szCs w:val="21"/>
                <w:lang w:eastAsia="en-US"/>
              </w:rPr>
              <w:t>重</w:t>
            </w:r>
            <w:r w:rsidRPr="00E33E19">
              <w:rPr>
                <w:rFonts w:ascii="宋体" w:eastAsia="宋体" w:hAnsi="宋体" w:cs="宋体" w:hint="eastAsia"/>
                <w:kern w:val="0"/>
                <w:szCs w:val="21"/>
                <w:lang w:eastAsia="en-US"/>
              </w:rPr>
              <w:t>大负</w:t>
            </w:r>
            <w:r w:rsidRPr="00E33E19">
              <w:rPr>
                <w:rFonts w:ascii="宋体" w:eastAsia="宋体" w:hAnsi="宋体" w:cs="宋体" w:hint="eastAsia"/>
                <w:spacing w:val="1"/>
                <w:kern w:val="0"/>
                <w:szCs w:val="21"/>
                <w:lang w:eastAsia="en-US"/>
              </w:rPr>
              <w:t>面</w:t>
            </w:r>
            <w:r w:rsidRPr="00E33E19">
              <w:rPr>
                <w:rFonts w:ascii="宋体" w:eastAsia="宋体" w:hAnsi="宋体" w:cs="宋体" w:hint="eastAsia"/>
                <w:kern w:val="0"/>
                <w:szCs w:val="21"/>
                <w:lang w:eastAsia="en-US"/>
              </w:rPr>
              <w:t>影响</w:t>
            </w:r>
            <w:proofErr w:type="spellEnd"/>
          </w:p>
        </w:tc>
      </w:tr>
      <w:tr w:rsidR="00E33E19" w:rsidRPr="00E33E19" w:rsidTr="00BD1FEB">
        <w:trPr>
          <w:trHeight w:hRule="exact" w:val="752"/>
        </w:trPr>
        <w:tc>
          <w:tcPr>
            <w:tcW w:w="1030" w:type="dxa"/>
            <w:tcBorders>
              <w:top w:val="single" w:sz="4" w:space="0" w:color="000000"/>
              <w:left w:val="single" w:sz="4" w:space="0" w:color="000000"/>
              <w:bottom w:val="single" w:sz="4" w:space="0" w:color="000000"/>
              <w:right w:val="single" w:sz="4" w:space="0" w:color="000000"/>
            </w:tcBorders>
            <w:vAlign w:val="center"/>
          </w:tcPr>
          <w:p w:rsidR="00A41C24" w:rsidRPr="00E33E19" w:rsidRDefault="00A41C24" w:rsidP="00BD1FEB">
            <w:pPr>
              <w:spacing w:before="8" w:line="200" w:lineRule="exact"/>
              <w:jc w:val="center"/>
              <w:rPr>
                <w:rFonts w:ascii="宋体" w:eastAsia="宋体" w:hAnsi="宋体" w:cs="Times New Roman"/>
                <w:kern w:val="0"/>
                <w:szCs w:val="21"/>
                <w:lang w:eastAsia="en-US"/>
              </w:rPr>
            </w:pPr>
          </w:p>
          <w:p w:rsidR="00A41C24" w:rsidRPr="00E33E19" w:rsidRDefault="00A41C24" w:rsidP="00BD1FEB">
            <w:pPr>
              <w:ind w:left="102" w:right="-20"/>
              <w:jc w:val="center"/>
              <w:rPr>
                <w:rFonts w:ascii="宋体" w:eastAsia="宋体" w:hAnsi="宋体" w:cs="宋体"/>
                <w:kern w:val="0"/>
                <w:szCs w:val="21"/>
                <w:lang w:eastAsia="en-US"/>
              </w:rPr>
            </w:pPr>
            <w:proofErr w:type="spellStart"/>
            <w:r w:rsidRPr="00E33E19">
              <w:rPr>
                <w:rFonts w:ascii="宋体" w:eastAsia="宋体" w:hAnsi="宋体" w:cs="宋体" w:hint="eastAsia"/>
                <w:kern w:val="0"/>
                <w:szCs w:val="21"/>
                <w:lang w:eastAsia="en-US"/>
              </w:rPr>
              <w:t>重大缺陷</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A41C24" w:rsidRPr="00E33E19" w:rsidRDefault="00A41C24" w:rsidP="00417BBC">
            <w:pPr>
              <w:spacing w:before="8" w:line="200" w:lineRule="exact"/>
              <w:jc w:val="left"/>
              <w:rPr>
                <w:rFonts w:ascii="宋体" w:eastAsia="宋体" w:hAnsi="宋体" w:cs="Times New Roman"/>
                <w:kern w:val="0"/>
                <w:szCs w:val="21"/>
                <w:lang w:eastAsia="en-US"/>
              </w:rPr>
            </w:pPr>
          </w:p>
          <w:p w:rsidR="00A41C24" w:rsidRPr="00E33E19" w:rsidRDefault="00A41C24" w:rsidP="00417BBC">
            <w:pPr>
              <w:ind w:left="101" w:right="-20"/>
              <w:jc w:val="left"/>
              <w:rPr>
                <w:rFonts w:ascii="宋体" w:eastAsia="宋体" w:hAnsi="宋体" w:cs="宋体"/>
                <w:kern w:val="0"/>
                <w:szCs w:val="21"/>
                <w:lang w:eastAsia="en-US"/>
              </w:rPr>
            </w:pPr>
            <w:proofErr w:type="spellStart"/>
            <w:r w:rsidRPr="00E33E19">
              <w:rPr>
                <w:rFonts w:ascii="宋体" w:eastAsia="宋体" w:hAnsi="宋体" w:cs="宋体" w:hint="eastAsia"/>
                <w:kern w:val="0"/>
                <w:szCs w:val="21"/>
                <w:lang w:eastAsia="en-US"/>
              </w:rPr>
              <w:t>1000万元</w:t>
            </w:r>
            <w:r w:rsidRPr="00E33E19">
              <w:rPr>
                <w:rFonts w:ascii="宋体" w:eastAsia="宋体" w:hAnsi="宋体" w:cs="宋体" w:hint="eastAsia"/>
                <w:spacing w:val="-1"/>
                <w:kern w:val="0"/>
                <w:szCs w:val="21"/>
                <w:lang w:eastAsia="en-US"/>
              </w:rPr>
              <w:t>以</w:t>
            </w:r>
            <w:r w:rsidRPr="00E33E19">
              <w:rPr>
                <w:rFonts w:ascii="宋体" w:eastAsia="宋体" w:hAnsi="宋体" w:cs="宋体" w:hint="eastAsia"/>
                <w:kern w:val="0"/>
                <w:szCs w:val="21"/>
                <w:lang w:eastAsia="en-US"/>
              </w:rPr>
              <w:t>上</w:t>
            </w:r>
            <w:proofErr w:type="spellEnd"/>
          </w:p>
        </w:tc>
        <w:tc>
          <w:tcPr>
            <w:tcW w:w="3916" w:type="dxa"/>
            <w:tcBorders>
              <w:top w:val="single" w:sz="4" w:space="0" w:color="000000"/>
              <w:left w:val="single" w:sz="4" w:space="0" w:color="000000"/>
              <w:bottom w:val="single" w:sz="4" w:space="0" w:color="000000"/>
              <w:right w:val="single" w:sz="4" w:space="0" w:color="000000"/>
            </w:tcBorders>
            <w:vAlign w:val="center"/>
          </w:tcPr>
          <w:p w:rsidR="00A41C24" w:rsidRPr="00E33E19" w:rsidRDefault="00A41C24" w:rsidP="00BD1FEB">
            <w:pPr>
              <w:spacing w:before="52" w:line="241" w:lineRule="auto"/>
              <w:ind w:left="101" w:right="145"/>
              <w:rPr>
                <w:rFonts w:ascii="宋体" w:eastAsia="宋体" w:hAnsi="宋体" w:cs="宋体"/>
                <w:kern w:val="0"/>
                <w:szCs w:val="21"/>
              </w:rPr>
            </w:pPr>
            <w:r w:rsidRPr="00E33E19">
              <w:rPr>
                <w:rFonts w:ascii="宋体" w:eastAsia="宋体" w:hAnsi="宋体" w:cs="宋体" w:hint="eastAsia"/>
                <w:kern w:val="0"/>
                <w:szCs w:val="21"/>
              </w:rPr>
              <w:t xml:space="preserve">对公司造成较大负面影响并以公告形 </w:t>
            </w:r>
            <w:proofErr w:type="gramStart"/>
            <w:r w:rsidRPr="00E33E19">
              <w:rPr>
                <w:rFonts w:ascii="宋体" w:eastAsia="宋体" w:hAnsi="宋体" w:cs="宋体" w:hint="eastAsia"/>
                <w:kern w:val="0"/>
                <w:szCs w:val="21"/>
              </w:rPr>
              <w:t>式对外</w:t>
            </w:r>
            <w:proofErr w:type="gramEnd"/>
            <w:r w:rsidRPr="00E33E19">
              <w:rPr>
                <w:rFonts w:ascii="宋体" w:eastAsia="宋体" w:hAnsi="宋体" w:cs="宋体" w:hint="eastAsia"/>
                <w:kern w:val="0"/>
                <w:szCs w:val="21"/>
              </w:rPr>
              <w:t>披露</w:t>
            </w:r>
          </w:p>
        </w:tc>
      </w:tr>
      <w:tr w:rsidR="00E33E19" w:rsidRPr="00E33E19" w:rsidTr="00BD1FEB">
        <w:trPr>
          <w:trHeight w:hRule="exact" w:val="752"/>
        </w:trPr>
        <w:tc>
          <w:tcPr>
            <w:tcW w:w="1030" w:type="dxa"/>
            <w:tcBorders>
              <w:top w:val="nil"/>
              <w:left w:val="single" w:sz="4" w:space="0" w:color="000000"/>
              <w:bottom w:val="single" w:sz="4" w:space="0" w:color="000000"/>
              <w:right w:val="single" w:sz="4" w:space="0" w:color="000000"/>
            </w:tcBorders>
            <w:vAlign w:val="center"/>
          </w:tcPr>
          <w:p w:rsidR="00A41C24" w:rsidRPr="00E33E19" w:rsidRDefault="00A41C24" w:rsidP="00BD1FEB">
            <w:pPr>
              <w:ind w:left="102" w:right="-20"/>
              <w:jc w:val="center"/>
              <w:rPr>
                <w:rFonts w:ascii="宋体" w:eastAsia="宋体" w:hAnsi="宋体" w:cs="宋体"/>
                <w:kern w:val="0"/>
                <w:szCs w:val="21"/>
                <w:lang w:eastAsia="en-US"/>
              </w:rPr>
            </w:pPr>
            <w:r w:rsidRPr="00E33E19">
              <w:rPr>
                <w:rFonts w:ascii="宋体" w:eastAsia="宋体" w:hAnsi="宋体" w:cs="宋体" w:hint="eastAsia"/>
                <w:kern w:val="0"/>
                <w:szCs w:val="21"/>
              </w:rPr>
              <w:t>重</w:t>
            </w:r>
            <w:proofErr w:type="spellStart"/>
            <w:r w:rsidRPr="00E33E19">
              <w:rPr>
                <w:rFonts w:ascii="宋体" w:eastAsia="宋体" w:hAnsi="宋体" w:cs="宋体" w:hint="eastAsia"/>
                <w:kern w:val="0"/>
                <w:szCs w:val="21"/>
                <w:lang w:eastAsia="en-US"/>
              </w:rPr>
              <w:t>要缺陷</w:t>
            </w:r>
            <w:proofErr w:type="spellEnd"/>
          </w:p>
        </w:tc>
        <w:tc>
          <w:tcPr>
            <w:tcW w:w="3261" w:type="dxa"/>
            <w:tcBorders>
              <w:top w:val="nil"/>
              <w:left w:val="single" w:sz="4" w:space="0" w:color="000000"/>
              <w:bottom w:val="single" w:sz="4" w:space="0" w:color="000000"/>
              <w:right w:val="single" w:sz="4" w:space="0" w:color="000000"/>
            </w:tcBorders>
          </w:tcPr>
          <w:p w:rsidR="00A41C24" w:rsidRPr="00E33E19" w:rsidRDefault="00A41C24" w:rsidP="00417BBC">
            <w:pPr>
              <w:spacing w:before="5" w:line="140" w:lineRule="exact"/>
              <w:jc w:val="left"/>
              <w:rPr>
                <w:rFonts w:ascii="宋体" w:eastAsia="宋体" w:hAnsi="宋体" w:cs="Times New Roman"/>
                <w:kern w:val="0"/>
                <w:szCs w:val="21"/>
                <w:lang w:eastAsia="en-US"/>
              </w:rPr>
            </w:pPr>
          </w:p>
          <w:p w:rsidR="00A41C24" w:rsidRPr="00E33E19" w:rsidRDefault="00A41C24" w:rsidP="00417BBC">
            <w:pPr>
              <w:ind w:left="101" w:right="-74"/>
              <w:jc w:val="left"/>
              <w:rPr>
                <w:rFonts w:ascii="宋体" w:eastAsia="宋体" w:hAnsi="宋体" w:cs="宋体"/>
                <w:kern w:val="0"/>
                <w:szCs w:val="21"/>
              </w:rPr>
            </w:pPr>
            <w:r w:rsidRPr="00E33E19">
              <w:rPr>
                <w:rFonts w:ascii="宋体" w:eastAsia="宋体" w:hAnsi="宋体" w:cs="宋体" w:hint="eastAsia"/>
                <w:spacing w:val="1"/>
                <w:kern w:val="0"/>
                <w:szCs w:val="21"/>
              </w:rPr>
              <w:t>100万元-1000万元(含1000万元)</w:t>
            </w:r>
          </w:p>
        </w:tc>
        <w:tc>
          <w:tcPr>
            <w:tcW w:w="3916" w:type="dxa"/>
            <w:tcBorders>
              <w:top w:val="nil"/>
              <w:left w:val="single" w:sz="4" w:space="0" w:color="000000"/>
              <w:bottom w:val="single" w:sz="4" w:space="0" w:color="000000"/>
              <w:right w:val="single" w:sz="4" w:space="0" w:color="000000"/>
            </w:tcBorders>
            <w:vAlign w:val="center"/>
          </w:tcPr>
          <w:p w:rsidR="00A41C24" w:rsidRPr="00E33E19" w:rsidRDefault="00A41C24" w:rsidP="00BD1FEB">
            <w:pPr>
              <w:spacing w:before="19" w:line="312" w:lineRule="exact"/>
              <w:ind w:left="101" w:right="145"/>
              <w:rPr>
                <w:rFonts w:ascii="宋体" w:eastAsia="宋体" w:hAnsi="宋体" w:cs="宋体"/>
                <w:kern w:val="0"/>
                <w:szCs w:val="21"/>
              </w:rPr>
            </w:pPr>
            <w:r w:rsidRPr="00E33E19">
              <w:rPr>
                <w:rFonts w:ascii="宋体" w:eastAsia="宋体" w:hAnsi="宋体" w:cs="宋体" w:hint="eastAsia"/>
                <w:kern w:val="0"/>
                <w:szCs w:val="21"/>
              </w:rPr>
              <w:t>或受到国家政府部门处罚但对</w:t>
            </w:r>
            <w:proofErr w:type="gramStart"/>
            <w:r w:rsidRPr="00E33E19">
              <w:rPr>
                <w:rFonts w:ascii="宋体" w:eastAsia="宋体" w:hAnsi="宋体" w:cs="宋体" w:hint="eastAsia"/>
                <w:kern w:val="0"/>
                <w:szCs w:val="21"/>
              </w:rPr>
              <w:t>未公司</w:t>
            </w:r>
            <w:proofErr w:type="gramEnd"/>
            <w:r w:rsidRPr="00E33E19">
              <w:rPr>
                <w:rFonts w:ascii="宋体" w:eastAsia="宋体" w:hAnsi="宋体" w:cs="宋体" w:hint="eastAsia"/>
                <w:kern w:val="0"/>
                <w:szCs w:val="21"/>
              </w:rPr>
              <w:t xml:space="preserve"> 造成负面影响</w:t>
            </w:r>
          </w:p>
        </w:tc>
      </w:tr>
      <w:tr w:rsidR="00E33E19" w:rsidRPr="00E33E19" w:rsidTr="00BD1FEB">
        <w:trPr>
          <w:trHeight w:hRule="exact" w:val="837"/>
        </w:trPr>
        <w:tc>
          <w:tcPr>
            <w:tcW w:w="1030" w:type="dxa"/>
            <w:tcBorders>
              <w:top w:val="single" w:sz="4" w:space="0" w:color="000000"/>
              <w:left w:val="single" w:sz="4" w:space="0" w:color="000000"/>
              <w:bottom w:val="single" w:sz="4" w:space="0" w:color="000000"/>
              <w:right w:val="single" w:sz="4" w:space="0" w:color="000000"/>
            </w:tcBorders>
            <w:vAlign w:val="center"/>
          </w:tcPr>
          <w:p w:rsidR="00A41C24" w:rsidRPr="00E33E19" w:rsidRDefault="00A41C24" w:rsidP="00BD1FEB">
            <w:pPr>
              <w:spacing w:before="4" w:line="280" w:lineRule="exact"/>
              <w:jc w:val="center"/>
              <w:rPr>
                <w:rFonts w:ascii="宋体" w:eastAsia="宋体" w:hAnsi="宋体" w:cs="Times New Roman"/>
                <w:kern w:val="0"/>
                <w:szCs w:val="21"/>
              </w:rPr>
            </w:pPr>
          </w:p>
          <w:p w:rsidR="00A41C24" w:rsidRPr="00E33E19" w:rsidRDefault="00A41C24" w:rsidP="00BD1FEB">
            <w:pPr>
              <w:ind w:left="102" w:right="-20"/>
              <w:jc w:val="center"/>
              <w:rPr>
                <w:rFonts w:ascii="宋体" w:eastAsia="宋体" w:hAnsi="宋体" w:cs="宋体"/>
                <w:kern w:val="0"/>
                <w:szCs w:val="21"/>
                <w:lang w:eastAsia="en-US"/>
              </w:rPr>
            </w:pPr>
            <w:proofErr w:type="spellStart"/>
            <w:r w:rsidRPr="00E33E19">
              <w:rPr>
                <w:rFonts w:ascii="宋体" w:eastAsia="宋体" w:hAnsi="宋体" w:cs="宋体" w:hint="eastAsia"/>
                <w:kern w:val="0"/>
                <w:szCs w:val="21"/>
                <w:lang w:eastAsia="en-US"/>
              </w:rPr>
              <w:t>一般缺陷</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A41C24" w:rsidRPr="00E33E19" w:rsidRDefault="00A41C24" w:rsidP="00417BBC">
            <w:pPr>
              <w:spacing w:before="4" w:line="280" w:lineRule="exact"/>
              <w:jc w:val="left"/>
              <w:rPr>
                <w:rFonts w:ascii="宋体" w:eastAsia="宋体" w:hAnsi="宋体" w:cs="Times New Roman"/>
                <w:kern w:val="0"/>
                <w:szCs w:val="21"/>
                <w:lang w:eastAsia="en-US"/>
              </w:rPr>
            </w:pPr>
          </w:p>
          <w:p w:rsidR="00A41C24" w:rsidRPr="00E33E19" w:rsidRDefault="00A41C24" w:rsidP="00417BBC">
            <w:pPr>
              <w:ind w:left="101" w:right="-20"/>
              <w:jc w:val="left"/>
              <w:rPr>
                <w:rFonts w:ascii="宋体" w:eastAsia="宋体" w:hAnsi="宋体" w:cs="宋体"/>
                <w:kern w:val="0"/>
                <w:szCs w:val="21"/>
                <w:lang w:eastAsia="en-US"/>
              </w:rPr>
            </w:pPr>
            <w:r w:rsidRPr="00E33E19">
              <w:rPr>
                <w:rFonts w:ascii="宋体" w:eastAsia="宋体" w:hAnsi="宋体" w:cs="宋体" w:hint="eastAsia"/>
                <w:kern w:val="0"/>
                <w:szCs w:val="21"/>
                <w:lang w:eastAsia="en-US"/>
              </w:rPr>
              <w:t>100万元</w:t>
            </w:r>
            <w:r w:rsidRPr="00E33E19">
              <w:rPr>
                <w:rFonts w:ascii="宋体" w:eastAsia="宋体" w:hAnsi="宋体" w:cs="宋体" w:hint="eastAsia"/>
                <w:spacing w:val="-1"/>
                <w:kern w:val="0"/>
                <w:szCs w:val="21"/>
                <w:lang w:eastAsia="en-US"/>
              </w:rPr>
              <w:t>（</w:t>
            </w:r>
            <w:r w:rsidRPr="00E33E19">
              <w:rPr>
                <w:rFonts w:ascii="宋体" w:eastAsia="宋体" w:hAnsi="宋体" w:cs="宋体" w:hint="eastAsia"/>
                <w:kern w:val="0"/>
                <w:szCs w:val="21"/>
                <w:lang w:eastAsia="en-US"/>
              </w:rPr>
              <w:t>含100万</w:t>
            </w:r>
            <w:r w:rsidRPr="00E33E19">
              <w:rPr>
                <w:rFonts w:ascii="宋体" w:eastAsia="宋体" w:hAnsi="宋体" w:cs="宋体" w:hint="eastAsia"/>
                <w:spacing w:val="-1"/>
                <w:kern w:val="0"/>
                <w:szCs w:val="21"/>
                <w:lang w:eastAsia="en-US"/>
              </w:rPr>
              <w:t>元</w:t>
            </w:r>
            <w:r w:rsidRPr="00E33E19">
              <w:rPr>
                <w:rFonts w:ascii="宋体" w:eastAsia="宋体" w:hAnsi="宋体" w:cs="宋体" w:hint="eastAsia"/>
                <w:kern w:val="0"/>
                <w:szCs w:val="21"/>
                <w:lang w:eastAsia="en-US"/>
              </w:rPr>
              <w:t>）以下</w:t>
            </w:r>
          </w:p>
        </w:tc>
        <w:tc>
          <w:tcPr>
            <w:tcW w:w="3916" w:type="dxa"/>
            <w:tcBorders>
              <w:top w:val="single" w:sz="4" w:space="0" w:color="000000"/>
              <w:left w:val="single" w:sz="4" w:space="0" w:color="000000"/>
              <w:bottom w:val="single" w:sz="4" w:space="0" w:color="000000"/>
              <w:right w:val="single" w:sz="4" w:space="0" w:color="000000"/>
            </w:tcBorders>
            <w:vAlign w:val="center"/>
          </w:tcPr>
          <w:p w:rsidR="00A41C24" w:rsidRPr="00E33E19" w:rsidRDefault="00A41C24" w:rsidP="00BD1FEB">
            <w:pPr>
              <w:spacing w:before="8" w:line="120" w:lineRule="exact"/>
              <w:rPr>
                <w:rFonts w:ascii="宋体" w:eastAsia="宋体" w:hAnsi="宋体" w:cs="Times New Roman"/>
                <w:kern w:val="0"/>
                <w:szCs w:val="21"/>
              </w:rPr>
            </w:pPr>
          </w:p>
          <w:p w:rsidR="00A41C24" w:rsidRPr="00E33E19" w:rsidRDefault="00A41C24" w:rsidP="00BD1FEB">
            <w:pPr>
              <w:spacing w:line="242" w:lineRule="auto"/>
              <w:ind w:left="101" w:right="36"/>
              <w:rPr>
                <w:rFonts w:ascii="宋体" w:eastAsia="宋体" w:hAnsi="宋体" w:cs="宋体"/>
                <w:kern w:val="0"/>
                <w:szCs w:val="21"/>
              </w:rPr>
            </w:pPr>
            <w:r w:rsidRPr="00E33E19">
              <w:rPr>
                <w:rFonts w:ascii="宋体" w:eastAsia="宋体" w:hAnsi="宋体" w:cs="宋体" w:hint="eastAsia"/>
                <w:kern w:val="0"/>
                <w:szCs w:val="21"/>
              </w:rPr>
              <w:t>受到省</w:t>
            </w:r>
            <w:r w:rsidRPr="00E33E19">
              <w:rPr>
                <w:rFonts w:ascii="宋体" w:eastAsia="宋体" w:hAnsi="宋体" w:cs="宋体" w:hint="eastAsia"/>
                <w:spacing w:val="-50"/>
                <w:kern w:val="0"/>
                <w:szCs w:val="21"/>
              </w:rPr>
              <w:t>级</w:t>
            </w:r>
            <w:r w:rsidRPr="00E33E19">
              <w:rPr>
                <w:rFonts w:ascii="宋体" w:eastAsia="宋体" w:hAnsi="宋体" w:cs="宋体" w:hint="eastAsia"/>
                <w:kern w:val="0"/>
                <w:szCs w:val="21"/>
              </w:rPr>
              <w:t>（含省级</w:t>
            </w:r>
            <w:r w:rsidRPr="00E33E19">
              <w:rPr>
                <w:rFonts w:ascii="宋体" w:eastAsia="宋体" w:hAnsi="宋体" w:cs="宋体" w:hint="eastAsia"/>
                <w:spacing w:val="-50"/>
                <w:kern w:val="0"/>
                <w:szCs w:val="21"/>
              </w:rPr>
              <w:t>）</w:t>
            </w:r>
            <w:r w:rsidRPr="00E33E19">
              <w:rPr>
                <w:rFonts w:ascii="宋体" w:eastAsia="宋体" w:hAnsi="宋体" w:cs="宋体" w:hint="eastAsia"/>
                <w:kern w:val="0"/>
                <w:szCs w:val="21"/>
              </w:rPr>
              <w:t>以下政府部门处罚 但对未对公司造成负面影响</w:t>
            </w:r>
          </w:p>
        </w:tc>
      </w:tr>
    </w:tbl>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公司确定的非财务报告内部控制缺陷评价的定性标准如下：</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1、重大缺陷：出现以下情形的，认定为重大缺陷，其他情形按影响程度分别确定为重要缺陷或一般缺陷。</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(1)违犯国家法律、法规或规范性文件；</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(2)重大决策程序不科学；</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(3)制度缺失可能导致系统性失效； </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 xml:space="preserve">(4)重大或重要缺陷不能得到整改； </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(5)其他对公司影响重大的情形。</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2、重要缺陷:决策程序导致出现一般性失误；重要业务制度或系统存在缺陷；关键岗位业务人员流失严重；内部控制评价的结果特别是重要缺陷未得到整改；其他对公司产生较大负面影响的情形。</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3、一般缺陷:决策程序效率不高；一般业务制度或系统存在缺陷；一般岗位业务人员流失严重；一般缺陷未得到整改。</w:t>
      </w:r>
    </w:p>
    <w:p w:rsidR="00A41C24" w:rsidRPr="00E33E19" w:rsidRDefault="00A41C24" w:rsidP="00295EE2">
      <w:pPr>
        <w:spacing w:line="48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t>（三）内部控制缺陷认定及整改情况</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1.财务报告内部控制缺陷认定及整改情况</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根据上述财务报告内部控制缺陷的认定标准，报告期内公司不存在重大缺陷、重要缺陷。</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2.非财务报告内部控制缺陷认定及整改情况</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根据上述非财务报告内部控制缺陷的认定标准，报告期内未发现公司非财务报告内部控制重大缺陷、重要缺陷。</w:t>
      </w:r>
    </w:p>
    <w:p w:rsidR="00A41C24" w:rsidRPr="00E33E19" w:rsidRDefault="00A41C24" w:rsidP="00295EE2">
      <w:pPr>
        <w:spacing w:line="480" w:lineRule="exact"/>
        <w:ind w:firstLineChars="200" w:firstLine="482"/>
        <w:rPr>
          <w:rFonts w:asciiTheme="minorEastAsia" w:hAnsiTheme="minorEastAsia"/>
          <w:b/>
          <w:sz w:val="24"/>
          <w:szCs w:val="24"/>
        </w:rPr>
      </w:pPr>
      <w:r w:rsidRPr="00E33E19">
        <w:rPr>
          <w:rFonts w:asciiTheme="minorEastAsia" w:hAnsiTheme="minorEastAsia" w:hint="eastAsia"/>
          <w:b/>
          <w:sz w:val="24"/>
          <w:szCs w:val="24"/>
        </w:rPr>
        <w:t xml:space="preserve">四、其他内部控制相关重大事项说明 </w:t>
      </w:r>
    </w:p>
    <w:p w:rsidR="00A41C24" w:rsidRPr="00E33E19" w:rsidRDefault="00A41C24" w:rsidP="00BD1FEB">
      <w:pPr>
        <w:spacing w:line="480" w:lineRule="exact"/>
        <w:ind w:firstLineChars="200" w:firstLine="480"/>
        <w:rPr>
          <w:rFonts w:asciiTheme="minorEastAsia" w:hAnsiTheme="minorEastAsia"/>
          <w:sz w:val="24"/>
          <w:szCs w:val="24"/>
        </w:rPr>
      </w:pPr>
      <w:r w:rsidRPr="00E33E19">
        <w:rPr>
          <w:rFonts w:asciiTheme="minorEastAsia" w:hAnsiTheme="minorEastAsia" w:hint="eastAsia"/>
          <w:sz w:val="24"/>
          <w:szCs w:val="24"/>
        </w:rPr>
        <w:t>报告期内,公司不存在其他可能对投资者理解内部控制自我评价报告、评价内部控制情况或进行投资决策产生重大影响的其他内部控制信息。</w:t>
      </w:r>
    </w:p>
    <w:p w:rsidR="00A41C24" w:rsidRPr="00E33E19" w:rsidRDefault="00A41C24" w:rsidP="00BD1FEB">
      <w:pPr>
        <w:spacing w:line="480" w:lineRule="exact"/>
        <w:ind w:firstLineChars="200" w:firstLine="480"/>
        <w:jc w:val="right"/>
        <w:rPr>
          <w:rFonts w:asciiTheme="minorEastAsia" w:hAnsiTheme="minorEastAsia"/>
          <w:sz w:val="24"/>
          <w:szCs w:val="24"/>
        </w:rPr>
      </w:pPr>
      <w:r w:rsidRPr="00E33E19">
        <w:rPr>
          <w:rFonts w:asciiTheme="minorEastAsia" w:hAnsiTheme="minorEastAsia" w:hint="eastAsia"/>
          <w:sz w:val="24"/>
          <w:szCs w:val="24"/>
        </w:rPr>
        <w:t>华孚时尚股份有限公司</w:t>
      </w:r>
    </w:p>
    <w:p w:rsidR="00A41C24" w:rsidRPr="00E33E19" w:rsidRDefault="00B52A5E" w:rsidP="00BD1FEB">
      <w:pPr>
        <w:spacing w:line="480" w:lineRule="exact"/>
        <w:ind w:firstLineChars="200" w:firstLine="480"/>
        <w:jc w:val="right"/>
        <w:rPr>
          <w:rFonts w:asciiTheme="minorEastAsia" w:hAnsiTheme="minorEastAsia"/>
          <w:sz w:val="24"/>
          <w:szCs w:val="24"/>
        </w:rPr>
      </w:pPr>
      <w:r w:rsidRPr="00E33E19">
        <w:rPr>
          <w:rFonts w:asciiTheme="minorEastAsia" w:hAnsiTheme="minorEastAsia" w:hint="eastAsia"/>
          <w:sz w:val="24"/>
          <w:szCs w:val="24"/>
        </w:rPr>
        <w:t>二〇二</w:t>
      </w:r>
      <w:r w:rsidR="006B51A3" w:rsidRPr="00E33E19">
        <w:rPr>
          <w:rFonts w:asciiTheme="minorEastAsia" w:hAnsiTheme="minorEastAsia" w:hint="eastAsia"/>
          <w:sz w:val="24"/>
          <w:szCs w:val="24"/>
        </w:rPr>
        <w:t>二</w:t>
      </w:r>
      <w:r w:rsidR="00A41C24" w:rsidRPr="00E33E19">
        <w:rPr>
          <w:rFonts w:asciiTheme="minorEastAsia" w:hAnsiTheme="minorEastAsia" w:hint="eastAsia"/>
          <w:sz w:val="24"/>
          <w:szCs w:val="24"/>
        </w:rPr>
        <w:t>年</w:t>
      </w:r>
      <w:r w:rsidR="00BD1FEB" w:rsidRPr="00E33E19">
        <w:rPr>
          <w:rFonts w:asciiTheme="minorEastAsia" w:hAnsiTheme="minorEastAsia" w:hint="eastAsia"/>
          <w:sz w:val="24"/>
          <w:szCs w:val="24"/>
        </w:rPr>
        <w:t>四</w:t>
      </w:r>
      <w:r w:rsidR="00A41C24" w:rsidRPr="00E33E19">
        <w:rPr>
          <w:rFonts w:asciiTheme="minorEastAsia" w:hAnsiTheme="minorEastAsia" w:hint="eastAsia"/>
          <w:sz w:val="24"/>
          <w:szCs w:val="24"/>
        </w:rPr>
        <w:t>月</w:t>
      </w:r>
      <w:r w:rsidR="00BD1FEB" w:rsidRPr="00E33E19">
        <w:rPr>
          <w:rFonts w:asciiTheme="minorEastAsia" w:hAnsiTheme="minorEastAsia" w:hint="eastAsia"/>
          <w:sz w:val="24"/>
          <w:szCs w:val="24"/>
        </w:rPr>
        <w:t>二十六</w:t>
      </w:r>
      <w:r w:rsidR="00F66370" w:rsidRPr="00E33E19">
        <w:rPr>
          <w:rFonts w:asciiTheme="minorEastAsia" w:hAnsiTheme="minorEastAsia" w:hint="eastAsia"/>
          <w:sz w:val="24"/>
          <w:szCs w:val="24"/>
        </w:rPr>
        <w:t>日</w:t>
      </w:r>
    </w:p>
    <w:p w:rsidR="007B5BF2" w:rsidRPr="00E33E19" w:rsidRDefault="00A41C24" w:rsidP="00A41C24">
      <w:pPr>
        <w:wordWrap w:val="0"/>
        <w:spacing w:line="360" w:lineRule="auto"/>
        <w:ind w:right="560" w:firstLineChars="200" w:firstLine="560"/>
        <w:jc w:val="right"/>
      </w:pPr>
      <w:r w:rsidRPr="00E33E19">
        <w:rPr>
          <w:rFonts w:asciiTheme="minorEastAsia" w:hAnsiTheme="minorEastAsia" w:hint="eastAsia"/>
          <w:sz w:val="28"/>
          <w:szCs w:val="28"/>
        </w:rPr>
        <w:t xml:space="preserve">                                  </w:t>
      </w:r>
    </w:p>
    <w:sectPr w:rsidR="007B5BF2" w:rsidRPr="00E33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48" w:rsidRDefault="008C7248" w:rsidP="00F66370">
      <w:r>
        <w:separator/>
      </w:r>
    </w:p>
  </w:endnote>
  <w:endnote w:type="continuationSeparator" w:id="0">
    <w:p w:rsidR="008C7248" w:rsidRDefault="008C7248" w:rsidP="00F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48" w:rsidRDefault="008C7248" w:rsidP="00F66370">
      <w:r>
        <w:separator/>
      </w:r>
    </w:p>
  </w:footnote>
  <w:footnote w:type="continuationSeparator" w:id="0">
    <w:p w:rsidR="008C7248" w:rsidRDefault="008C7248" w:rsidP="00F6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24"/>
    <w:rsid w:val="00034BEC"/>
    <w:rsid w:val="00037FB4"/>
    <w:rsid w:val="00047943"/>
    <w:rsid w:val="0007749E"/>
    <w:rsid w:val="000838E2"/>
    <w:rsid w:val="000928CD"/>
    <w:rsid w:val="000B6664"/>
    <w:rsid w:val="000D03B9"/>
    <w:rsid w:val="001112BE"/>
    <w:rsid w:val="001148A6"/>
    <w:rsid w:val="00144842"/>
    <w:rsid w:val="001607FD"/>
    <w:rsid w:val="00164E15"/>
    <w:rsid w:val="00174ED3"/>
    <w:rsid w:val="001A2D9E"/>
    <w:rsid w:val="001B22C9"/>
    <w:rsid w:val="001B5ADE"/>
    <w:rsid w:val="001C30D1"/>
    <w:rsid w:val="001C7986"/>
    <w:rsid w:val="001D0B9B"/>
    <w:rsid w:val="001D7584"/>
    <w:rsid w:val="001E3BC5"/>
    <w:rsid w:val="001F209D"/>
    <w:rsid w:val="001F7FEA"/>
    <w:rsid w:val="0021556B"/>
    <w:rsid w:val="00215C68"/>
    <w:rsid w:val="00224F2F"/>
    <w:rsid w:val="002303E3"/>
    <w:rsid w:val="002340C0"/>
    <w:rsid w:val="00236A8C"/>
    <w:rsid w:val="00241DF5"/>
    <w:rsid w:val="002610F5"/>
    <w:rsid w:val="00295EE2"/>
    <w:rsid w:val="002C1E43"/>
    <w:rsid w:val="002C597D"/>
    <w:rsid w:val="002F2101"/>
    <w:rsid w:val="002F260F"/>
    <w:rsid w:val="00315A34"/>
    <w:rsid w:val="00323626"/>
    <w:rsid w:val="00326C7E"/>
    <w:rsid w:val="003414EB"/>
    <w:rsid w:val="00343FDF"/>
    <w:rsid w:val="003440C4"/>
    <w:rsid w:val="0034697F"/>
    <w:rsid w:val="00357B48"/>
    <w:rsid w:val="00387248"/>
    <w:rsid w:val="00393E97"/>
    <w:rsid w:val="003C5F71"/>
    <w:rsid w:val="003D361C"/>
    <w:rsid w:val="003D3B46"/>
    <w:rsid w:val="003D561B"/>
    <w:rsid w:val="003F516A"/>
    <w:rsid w:val="00423269"/>
    <w:rsid w:val="00424CC5"/>
    <w:rsid w:val="0044154A"/>
    <w:rsid w:val="0047323C"/>
    <w:rsid w:val="00487AD6"/>
    <w:rsid w:val="004B5F22"/>
    <w:rsid w:val="004E7065"/>
    <w:rsid w:val="004F0366"/>
    <w:rsid w:val="004F6FCB"/>
    <w:rsid w:val="0051617A"/>
    <w:rsid w:val="00516E26"/>
    <w:rsid w:val="00527142"/>
    <w:rsid w:val="00535143"/>
    <w:rsid w:val="00544DFC"/>
    <w:rsid w:val="00546C43"/>
    <w:rsid w:val="00570844"/>
    <w:rsid w:val="005A3905"/>
    <w:rsid w:val="005B342A"/>
    <w:rsid w:val="005C7804"/>
    <w:rsid w:val="005F6259"/>
    <w:rsid w:val="00610543"/>
    <w:rsid w:val="00611458"/>
    <w:rsid w:val="00631E86"/>
    <w:rsid w:val="00642868"/>
    <w:rsid w:val="00643202"/>
    <w:rsid w:val="00646CC8"/>
    <w:rsid w:val="0067197D"/>
    <w:rsid w:val="00693AA9"/>
    <w:rsid w:val="00694266"/>
    <w:rsid w:val="006B51A3"/>
    <w:rsid w:val="006B73D5"/>
    <w:rsid w:val="00737EF0"/>
    <w:rsid w:val="0075327B"/>
    <w:rsid w:val="00785F49"/>
    <w:rsid w:val="007A5C01"/>
    <w:rsid w:val="007B5BF2"/>
    <w:rsid w:val="007E4EF7"/>
    <w:rsid w:val="007F2432"/>
    <w:rsid w:val="00800C14"/>
    <w:rsid w:val="00802A6B"/>
    <w:rsid w:val="008249C1"/>
    <w:rsid w:val="00844765"/>
    <w:rsid w:val="008621F0"/>
    <w:rsid w:val="0087213C"/>
    <w:rsid w:val="00892655"/>
    <w:rsid w:val="008A33E1"/>
    <w:rsid w:val="008B7D97"/>
    <w:rsid w:val="008B7FF8"/>
    <w:rsid w:val="008C4570"/>
    <w:rsid w:val="008C7248"/>
    <w:rsid w:val="008D0452"/>
    <w:rsid w:val="008D073A"/>
    <w:rsid w:val="008D43AC"/>
    <w:rsid w:val="00924F9F"/>
    <w:rsid w:val="0092512E"/>
    <w:rsid w:val="00926327"/>
    <w:rsid w:val="00926EB2"/>
    <w:rsid w:val="00927D51"/>
    <w:rsid w:val="00954A06"/>
    <w:rsid w:val="00956B36"/>
    <w:rsid w:val="009622EE"/>
    <w:rsid w:val="0098226A"/>
    <w:rsid w:val="00982996"/>
    <w:rsid w:val="0098347C"/>
    <w:rsid w:val="009C5704"/>
    <w:rsid w:val="009C7CC6"/>
    <w:rsid w:val="00A14E8A"/>
    <w:rsid w:val="00A15DC1"/>
    <w:rsid w:val="00A41C24"/>
    <w:rsid w:val="00A67679"/>
    <w:rsid w:val="00A8505D"/>
    <w:rsid w:val="00A90C5C"/>
    <w:rsid w:val="00AB252B"/>
    <w:rsid w:val="00AC106F"/>
    <w:rsid w:val="00AC2382"/>
    <w:rsid w:val="00AD1AFE"/>
    <w:rsid w:val="00AE1108"/>
    <w:rsid w:val="00AE3C55"/>
    <w:rsid w:val="00B005A2"/>
    <w:rsid w:val="00B03718"/>
    <w:rsid w:val="00B078A8"/>
    <w:rsid w:val="00B209B9"/>
    <w:rsid w:val="00B44A27"/>
    <w:rsid w:val="00B52A5E"/>
    <w:rsid w:val="00B666E1"/>
    <w:rsid w:val="00B87DBA"/>
    <w:rsid w:val="00BA416C"/>
    <w:rsid w:val="00BA6F7E"/>
    <w:rsid w:val="00BC3429"/>
    <w:rsid w:val="00BD1FEB"/>
    <w:rsid w:val="00BD44D8"/>
    <w:rsid w:val="00BE20FB"/>
    <w:rsid w:val="00C03C60"/>
    <w:rsid w:val="00C34D73"/>
    <w:rsid w:val="00CC6102"/>
    <w:rsid w:val="00CD5E61"/>
    <w:rsid w:val="00D01D3E"/>
    <w:rsid w:val="00D109DE"/>
    <w:rsid w:val="00D743DD"/>
    <w:rsid w:val="00D74FE6"/>
    <w:rsid w:val="00D76617"/>
    <w:rsid w:val="00D8081B"/>
    <w:rsid w:val="00DA0DE6"/>
    <w:rsid w:val="00DA140B"/>
    <w:rsid w:val="00DA26F3"/>
    <w:rsid w:val="00DC09D0"/>
    <w:rsid w:val="00DD0B3D"/>
    <w:rsid w:val="00DF1D1E"/>
    <w:rsid w:val="00E01ED1"/>
    <w:rsid w:val="00E32A5A"/>
    <w:rsid w:val="00E33E19"/>
    <w:rsid w:val="00E4789F"/>
    <w:rsid w:val="00E7672F"/>
    <w:rsid w:val="00E86359"/>
    <w:rsid w:val="00EA5FEC"/>
    <w:rsid w:val="00EB3B00"/>
    <w:rsid w:val="00ED1A51"/>
    <w:rsid w:val="00ED780D"/>
    <w:rsid w:val="00EE040B"/>
    <w:rsid w:val="00EE361C"/>
    <w:rsid w:val="00EE79E0"/>
    <w:rsid w:val="00F06103"/>
    <w:rsid w:val="00F50946"/>
    <w:rsid w:val="00F60F0F"/>
    <w:rsid w:val="00F66370"/>
    <w:rsid w:val="00F76836"/>
    <w:rsid w:val="00F81A1F"/>
    <w:rsid w:val="00F94792"/>
    <w:rsid w:val="00FA4A2F"/>
    <w:rsid w:val="00FC63EC"/>
    <w:rsid w:val="00FE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370"/>
    <w:rPr>
      <w:sz w:val="18"/>
      <w:szCs w:val="18"/>
    </w:rPr>
  </w:style>
  <w:style w:type="paragraph" w:styleId="a4">
    <w:name w:val="footer"/>
    <w:basedOn w:val="a"/>
    <w:link w:val="Char0"/>
    <w:uiPriority w:val="99"/>
    <w:unhideWhenUsed/>
    <w:rsid w:val="00F66370"/>
    <w:pPr>
      <w:tabs>
        <w:tab w:val="center" w:pos="4153"/>
        <w:tab w:val="right" w:pos="8306"/>
      </w:tabs>
      <w:snapToGrid w:val="0"/>
      <w:jc w:val="left"/>
    </w:pPr>
    <w:rPr>
      <w:sz w:val="18"/>
      <w:szCs w:val="18"/>
    </w:rPr>
  </w:style>
  <w:style w:type="character" w:customStyle="1" w:styleId="Char0">
    <w:name w:val="页脚 Char"/>
    <w:basedOn w:val="a0"/>
    <w:link w:val="a4"/>
    <w:uiPriority w:val="99"/>
    <w:rsid w:val="00F663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370"/>
    <w:rPr>
      <w:sz w:val="18"/>
      <w:szCs w:val="18"/>
    </w:rPr>
  </w:style>
  <w:style w:type="paragraph" w:styleId="a4">
    <w:name w:val="footer"/>
    <w:basedOn w:val="a"/>
    <w:link w:val="Char0"/>
    <w:uiPriority w:val="99"/>
    <w:unhideWhenUsed/>
    <w:rsid w:val="00F66370"/>
    <w:pPr>
      <w:tabs>
        <w:tab w:val="center" w:pos="4153"/>
        <w:tab w:val="right" w:pos="8306"/>
      </w:tabs>
      <w:snapToGrid w:val="0"/>
      <w:jc w:val="left"/>
    </w:pPr>
    <w:rPr>
      <w:sz w:val="18"/>
      <w:szCs w:val="18"/>
    </w:rPr>
  </w:style>
  <w:style w:type="character" w:customStyle="1" w:styleId="Char0">
    <w:name w:val="页脚 Char"/>
    <w:basedOn w:val="a0"/>
    <w:link w:val="a4"/>
    <w:uiPriority w:val="99"/>
    <w:rsid w:val="00F663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傅芳</dc:creator>
  <cp:lastModifiedBy>孙献</cp:lastModifiedBy>
  <cp:revision>6</cp:revision>
  <dcterms:created xsi:type="dcterms:W3CDTF">2022-04-13T07:11:00Z</dcterms:created>
  <dcterms:modified xsi:type="dcterms:W3CDTF">2022-04-27T04:35:00Z</dcterms:modified>
</cp:coreProperties>
</file>