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476F" w14:textId="7DD1CECB" w:rsidR="00904252" w:rsidRPr="00546560" w:rsidRDefault="00904252" w:rsidP="001E7CAE">
      <w:pPr>
        <w:ind w:left="284"/>
        <w:rPr>
          <w:rFonts w:ascii="黑体" w:eastAsia="黑体" w:hAnsi="黑体"/>
          <w:color w:val="000000" w:themeColor="text1"/>
        </w:rPr>
      </w:pPr>
      <w:r w:rsidRPr="00546560">
        <w:rPr>
          <w:rFonts w:ascii="黑体" w:eastAsia="黑体" w:hAnsi="黑体" w:hint="eastAsia"/>
          <w:color w:val="000000" w:themeColor="text1"/>
        </w:rPr>
        <w:t>证券代码：002042            证券简称：华孚</w:t>
      </w:r>
      <w:r w:rsidR="002543BD" w:rsidRPr="00546560">
        <w:rPr>
          <w:rFonts w:ascii="黑体" w:eastAsia="黑体" w:hAnsi="黑体" w:hint="eastAsia"/>
          <w:color w:val="000000" w:themeColor="text1"/>
        </w:rPr>
        <w:t>时尚</w:t>
      </w:r>
      <w:r w:rsidRPr="00546560">
        <w:rPr>
          <w:rFonts w:ascii="黑体" w:eastAsia="黑体" w:hAnsi="黑体" w:hint="eastAsia"/>
          <w:color w:val="000000" w:themeColor="text1"/>
        </w:rPr>
        <w:t xml:space="preserve">            公告编号：</w:t>
      </w:r>
      <w:r w:rsidR="004210D4" w:rsidRPr="00546560">
        <w:rPr>
          <w:rFonts w:ascii="黑体" w:eastAsia="黑体" w:hAnsi="黑体" w:hint="eastAsia"/>
          <w:color w:val="000000" w:themeColor="text1"/>
        </w:rPr>
        <w:t>20</w:t>
      </w:r>
      <w:r w:rsidR="00EF50F2" w:rsidRPr="00546560">
        <w:rPr>
          <w:rFonts w:ascii="黑体" w:eastAsia="黑体" w:hAnsi="黑体"/>
          <w:color w:val="000000" w:themeColor="text1"/>
        </w:rPr>
        <w:t>2</w:t>
      </w:r>
      <w:r w:rsidR="00D55908">
        <w:rPr>
          <w:rFonts w:ascii="黑体" w:eastAsia="黑体" w:hAnsi="黑体" w:hint="eastAsia"/>
          <w:color w:val="000000" w:themeColor="text1"/>
        </w:rPr>
        <w:t>2</w:t>
      </w:r>
      <w:r w:rsidR="002543BD" w:rsidRPr="00546560">
        <w:rPr>
          <w:rFonts w:ascii="黑体" w:eastAsia="黑体" w:hAnsi="黑体" w:hint="eastAsia"/>
          <w:color w:val="000000" w:themeColor="text1"/>
        </w:rPr>
        <w:t>-</w:t>
      </w:r>
      <w:r w:rsidR="00F52A74">
        <w:rPr>
          <w:rFonts w:ascii="黑体" w:eastAsia="黑体" w:hAnsi="黑体" w:hint="eastAsia"/>
          <w:color w:val="000000" w:themeColor="text1"/>
        </w:rPr>
        <w:t>03</w:t>
      </w:r>
    </w:p>
    <w:p w14:paraId="65E3533A" w14:textId="77777777" w:rsidR="00904252" w:rsidRPr="00546560" w:rsidRDefault="00904252" w:rsidP="001E7CAE">
      <w:pPr>
        <w:wordWrap w:val="0"/>
        <w:spacing w:line="440" w:lineRule="exact"/>
        <w:rPr>
          <w:rFonts w:ascii="宋体" w:hAnsi="宋体"/>
          <w:b/>
          <w:bCs/>
          <w:color w:val="000000" w:themeColor="text1"/>
          <w:sz w:val="24"/>
        </w:rPr>
      </w:pPr>
    </w:p>
    <w:p w14:paraId="5CFCB31B" w14:textId="77777777" w:rsidR="00904252" w:rsidRPr="00546560" w:rsidRDefault="00904252" w:rsidP="003154AC">
      <w:pPr>
        <w:spacing w:beforeLines="50" w:before="156" w:afterLines="50" w:after="156" w:line="480" w:lineRule="exact"/>
        <w:jc w:val="center"/>
        <w:rPr>
          <w:b/>
          <w:bCs/>
          <w:color w:val="000000" w:themeColor="text1"/>
          <w:sz w:val="36"/>
          <w:szCs w:val="32"/>
        </w:rPr>
      </w:pPr>
      <w:r w:rsidRPr="00546560">
        <w:rPr>
          <w:rFonts w:hint="eastAsia"/>
          <w:b/>
          <w:bCs/>
          <w:color w:val="000000" w:themeColor="text1"/>
          <w:sz w:val="36"/>
          <w:szCs w:val="32"/>
        </w:rPr>
        <w:t>华孚</w:t>
      </w:r>
      <w:r w:rsidR="002543BD" w:rsidRPr="00546560">
        <w:rPr>
          <w:rFonts w:hint="eastAsia"/>
          <w:b/>
          <w:bCs/>
          <w:color w:val="000000" w:themeColor="text1"/>
          <w:sz w:val="36"/>
          <w:szCs w:val="32"/>
        </w:rPr>
        <w:t>时尚</w:t>
      </w:r>
      <w:r w:rsidRPr="00546560">
        <w:rPr>
          <w:rFonts w:hint="eastAsia"/>
          <w:b/>
          <w:bCs/>
          <w:color w:val="000000" w:themeColor="text1"/>
          <w:sz w:val="36"/>
          <w:szCs w:val="32"/>
        </w:rPr>
        <w:t>股份有限公司</w:t>
      </w:r>
    </w:p>
    <w:p w14:paraId="15D2E012" w14:textId="1C259F80" w:rsidR="00904252" w:rsidRPr="00546560" w:rsidRDefault="003E71D3" w:rsidP="003154AC">
      <w:pPr>
        <w:spacing w:beforeLines="50" w:before="156" w:afterLines="100" w:after="312" w:line="480" w:lineRule="exact"/>
        <w:jc w:val="center"/>
        <w:rPr>
          <w:b/>
          <w:bCs/>
          <w:color w:val="000000" w:themeColor="text1"/>
          <w:sz w:val="36"/>
          <w:szCs w:val="36"/>
        </w:rPr>
      </w:pPr>
      <w:r w:rsidRPr="00546560">
        <w:rPr>
          <w:rFonts w:hint="eastAsia"/>
          <w:b/>
          <w:bCs/>
          <w:color w:val="000000" w:themeColor="text1"/>
          <w:sz w:val="36"/>
          <w:szCs w:val="32"/>
        </w:rPr>
        <w:t>关于</w:t>
      </w:r>
      <w:r w:rsidR="00C67D79">
        <w:rPr>
          <w:rFonts w:hint="eastAsia"/>
          <w:b/>
          <w:bCs/>
          <w:color w:val="000000" w:themeColor="text1"/>
          <w:sz w:val="36"/>
          <w:szCs w:val="32"/>
        </w:rPr>
        <w:t>2021</w:t>
      </w:r>
      <w:r w:rsidR="00C67D79">
        <w:rPr>
          <w:rFonts w:hint="eastAsia"/>
          <w:b/>
          <w:bCs/>
          <w:color w:val="000000" w:themeColor="text1"/>
          <w:sz w:val="36"/>
          <w:szCs w:val="32"/>
        </w:rPr>
        <w:t>年股权激励计划</w:t>
      </w:r>
      <w:r w:rsidR="00D55908">
        <w:rPr>
          <w:rFonts w:hint="eastAsia"/>
          <w:b/>
          <w:bCs/>
          <w:color w:val="000000" w:themeColor="text1"/>
          <w:sz w:val="36"/>
          <w:szCs w:val="32"/>
        </w:rPr>
        <w:t>预留股票期权</w:t>
      </w:r>
      <w:r w:rsidR="00C67D79">
        <w:rPr>
          <w:rFonts w:hint="eastAsia"/>
          <w:b/>
          <w:bCs/>
          <w:color w:val="000000" w:themeColor="text1"/>
          <w:sz w:val="36"/>
          <w:szCs w:val="32"/>
        </w:rPr>
        <w:t>授予登记完成</w:t>
      </w:r>
      <w:r w:rsidRPr="00546560">
        <w:rPr>
          <w:rFonts w:hint="eastAsia"/>
          <w:b/>
          <w:bCs/>
          <w:color w:val="000000" w:themeColor="text1"/>
          <w:sz w:val="36"/>
          <w:szCs w:val="32"/>
        </w:rPr>
        <w:t>的公告</w:t>
      </w:r>
    </w:p>
    <w:p w14:paraId="55EAC065" w14:textId="77777777" w:rsidR="00904252" w:rsidRPr="00546560" w:rsidRDefault="00904252" w:rsidP="00B67949">
      <w:pPr>
        <w:wordWrap w:val="0"/>
        <w:spacing w:afterLines="50" w:after="156" w:line="400" w:lineRule="exact"/>
        <w:ind w:left="284" w:firstLineChars="201" w:firstLine="482"/>
        <w:rPr>
          <w:rFonts w:ascii="华文楷体" w:eastAsia="华文楷体" w:hAnsi="华文楷体"/>
          <w:color w:val="000000" w:themeColor="text1"/>
          <w:sz w:val="24"/>
        </w:rPr>
      </w:pPr>
      <w:r w:rsidRPr="00546560">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52FD8BBA" w14:textId="48059B2C" w:rsidR="0006458E" w:rsidRPr="0006458E" w:rsidRDefault="0006458E" w:rsidP="0006458E">
      <w:pPr>
        <w:spacing w:line="500" w:lineRule="exact"/>
        <w:ind w:firstLineChars="200" w:firstLine="482"/>
        <w:outlineLvl w:val="0"/>
        <w:rPr>
          <w:rFonts w:asciiTheme="minorEastAsia" w:eastAsiaTheme="minorEastAsia" w:hAnsiTheme="minorEastAsia" w:cs="宋体"/>
          <w:b/>
          <w:color w:val="000000"/>
          <w:kern w:val="0"/>
          <w:sz w:val="24"/>
        </w:rPr>
      </w:pPr>
      <w:bookmarkStart w:id="0" w:name="_Hlk47271604"/>
      <w:r w:rsidRPr="0006458E">
        <w:rPr>
          <w:rFonts w:asciiTheme="minorEastAsia" w:eastAsiaTheme="minorEastAsia" w:hAnsiTheme="minorEastAsia" w:cs="宋体" w:hint="eastAsia"/>
          <w:b/>
          <w:color w:val="000000"/>
          <w:kern w:val="0"/>
          <w:sz w:val="24"/>
        </w:rPr>
        <w:t>重要内容提示：</w:t>
      </w:r>
    </w:p>
    <w:p w14:paraId="1A1ED31C" w14:textId="3B68ADF8"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1、股票期权简称：华孚</w:t>
      </w:r>
      <w:proofErr w:type="spellStart"/>
      <w:r w:rsidR="00D55908">
        <w:rPr>
          <w:rFonts w:asciiTheme="minorEastAsia" w:eastAsiaTheme="minorEastAsia" w:hAnsiTheme="minorEastAsia" w:cs="宋体" w:hint="eastAsia"/>
          <w:color w:val="000000"/>
          <w:kern w:val="0"/>
          <w:sz w:val="24"/>
        </w:rPr>
        <w:t>JLC4</w:t>
      </w:r>
      <w:proofErr w:type="spellEnd"/>
    </w:p>
    <w:p w14:paraId="3B6DACB2" w14:textId="2440FBF4"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2、股票期权代码：</w:t>
      </w:r>
      <w:r w:rsidR="00EC20F9">
        <w:rPr>
          <w:rFonts w:asciiTheme="minorEastAsia" w:eastAsiaTheme="minorEastAsia" w:hAnsiTheme="minorEastAsia" w:cs="宋体" w:hint="eastAsia"/>
          <w:color w:val="000000"/>
          <w:kern w:val="0"/>
          <w:sz w:val="24"/>
        </w:rPr>
        <w:t>037201</w:t>
      </w:r>
    </w:p>
    <w:p w14:paraId="37FA33CB" w14:textId="345BA280"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3、股票期权授予日：2021年</w:t>
      </w:r>
      <w:r w:rsidR="00D55908">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2月2</w:t>
      </w:r>
      <w:r w:rsidR="00D55908">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rPr>
        <w:t>日</w:t>
      </w:r>
    </w:p>
    <w:p w14:paraId="4582F985" w14:textId="5F303624"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4、股票期权授予数量：500万份</w:t>
      </w:r>
    </w:p>
    <w:p w14:paraId="29F2B9DA" w14:textId="0BB65793"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5、股票期权行权价格：</w:t>
      </w:r>
      <w:r w:rsidR="00D55908">
        <w:rPr>
          <w:rFonts w:asciiTheme="minorEastAsia" w:eastAsiaTheme="minorEastAsia" w:hAnsiTheme="minorEastAsia" w:cs="宋体" w:hint="eastAsia"/>
          <w:color w:val="000000"/>
          <w:kern w:val="0"/>
          <w:sz w:val="24"/>
        </w:rPr>
        <w:t>4.43</w:t>
      </w:r>
      <w:r>
        <w:rPr>
          <w:rFonts w:asciiTheme="minorEastAsia" w:eastAsiaTheme="minorEastAsia" w:hAnsiTheme="minorEastAsia" w:cs="宋体" w:hint="eastAsia"/>
          <w:color w:val="000000"/>
          <w:kern w:val="0"/>
          <w:sz w:val="24"/>
        </w:rPr>
        <w:t>元/股</w:t>
      </w:r>
    </w:p>
    <w:p w14:paraId="4F00F5B0" w14:textId="2D92D680" w:rsid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6、股票期权激励对象人数：</w:t>
      </w:r>
      <w:r w:rsidR="00D55908">
        <w:rPr>
          <w:rFonts w:asciiTheme="minorEastAsia" w:eastAsiaTheme="minorEastAsia" w:hAnsiTheme="minorEastAsia" w:cs="宋体" w:hint="eastAsia"/>
          <w:color w:val="000000"/>
          <w:kern w:val="0"/>
          <w:sz w:val="24"/>
        </w:rPr>
        <w:t>39</w:t>
      </w:r>
      <w:r>
        <w:rPr>
          <w:rFonts w:asciiTheme="minorEastAsia" w:eastAsiaTheme="minorEastAsia" w:hAnsiTheme="minorEastAsia" w:cs="宋体" w:hint="eastAsia"/>
          <w:color w:val="000000"/>
          <w:kern w:val="0"/>
          <w:sz w:val="24"/>
        </w:rPr>
        <w:t>人</w:t>
      </w:r>
    </w:p>
    <w:p w14:paraId="2473A99C" w14:textId="4690FD5D" w:rsidR="0006458E" w:rsidRPr="0006458E" w:rsidRDefault="0006458E" w:rsidP="002660C5">
      <w:pPr>
        <w:spacing w:line="500" w:lineRule="exact"/>
        <w:ind w:firstLineChars="200" w:firstLine="48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7、股票期权登记完成时间：</w:t>
      </w:r>
      <w:r w:rsidR="00D55908">
        <w:rPr>
          <w:rFonts w:asciiTheme="minorEastAsia" w:eastAsiaTheme="minorEastAsia" w:hAnsiTheme="minorEastAsia" w:cs="宋体" w:hint="eastAsia"/>
          <w:color w:val="000000"/>
          <w:kern w:val="0"/>
          <w:sz w:val="24"/>
        </w:rPr>
        <w:t>2022</w:t>
      </w:r>
      <w:r>
        <w:rPr>
          <w:rFonts w:asciiTheme="minorEastAsia" w:eastAsiaTheme="minorEastAsia" w:hAnsiTheme="minorEastAsia" w:cs="宋体" w:hint="eastAsia"/>
          <w:color w:val="000000"/>
          <w:kern w:val="0"/>
          <w:sz w:val="24"/>
        </w:rPr>
        <w:t>年</w:t>
      </w:r>
      <w:r w:rsidR="00D55908">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月</w:t>
      </w:r>
      <w:r w:rsidR="00F52A74">
        <w:rPr>
          <w:rFonts w:asciiTheme="minorEastAsia" w:eastAsiaTheme="minorEastAsia" w:hAnsiTheme="minorEastAsia" w:cs="宋体" w:hint="eastAsia"/>
          <w:color w:val="000000"/>
          <w:kern w:val="0"/>
          <w:sz w:val="24"/>
        </w:rPr>
        <w:t>11</w:t>
      </w:r>
      <w:r>
        <w:rPr>
          <w:rFonts w:asciiTheme="minorEastAsia" w:eastAsiaTheme="minorEastAsia" w:hAnsiTheme="minorEastAsia" w:cs="宋体" w:hint="eastAsia"/>
          <w:color w:val="000000"/>
          <w:kern w:val="0"/>
          <w:sz w:val="24"/>
        </w:rPr>
        <w:t>日</w:t>
      </w:r>
    </w:p>
    <w:p w14:paraId="5F8F1774" w14:textId="0529CD82" w:rsidR="00C67D79" w:rsidRPr="002660C5" w:rsidRDefault="00C67D79" w:rsidP="002660C5">
      <w:pPr>
        <w:spacing w:line="500" w:lineRule="exact"/>
        <w:ind w:firstLineChars="200" w:firstLine="480"/>
        <w:outlineLvl w:val="0"/>
        <w:rPr>
          <w:rFonts w:asciiTheme="minorEastAsia" w:eastAsiaTheme="minorEastAsia" w:hAnsiTheme="minorEastAsia" w:cs="宋体"/>
          <w:color w:val="000000"/>
          <w:kern w:val="0"/>
          <w:sz w:val="24"/>
        </w:rPr>
      </w:pPr>
      <w:r w:rsidRPr="002660C5">
        <w:rPr>
          <w:rFonts w:asciiTheme="minorEastAsia" w:eastAsiaTheme="minorEastAsia" w:hAnsiTheme="minorEastAsia" w:cs="宋体" w:hint="eastAsia"/>
          <w:color w:val="000000"/>
          <w:kern w:val="0"/>
          <w:sz w:val="24"/>
        </w:rPr>
        <w:t>根据中国证券监督管理委员会《上市公司股权激励管理办法》、深圳证券交易所、中国证券登记结算有限责任公司深圳分公司有关规则、</w:t>
      </w:r>
      <w:r w:rsidR="001F6E9D" w:rsidRPr="002660C5">
        <w:rPr>
          <w:rFonts w:asciiTheme="minorEastAsia" w:eastAsiaTheme="minorEastAsia" w:hAnsiTheme="minorEastAsia" w:cs="宋体" w:hint="eastAsia"/>
          <w:color w:val="000000"/>
          <w:kern w:val="0"/>
          <w:sz w:val="24"/>
        </w:rPr>
        <w:t>华孚时尚股份有限公司（以下简称“公司”）《2021年股票期权激励计划（草案）》</w:t>
      </w:r>
      <w:r w:rsidRPr="002660C5">
        <w:rPr>
          <w:rFonts w:asciiTheme="minorEastAsia" w:eastAsiaTheme="minorEastAsia" w:hAnsiTheme="minorEastAsia" w:cs="宋体" w:hint="eastAsia"/>
          <w:color w:val="000000"/>
          <w:kern w:val="0"/>
          <w:sz w:val="24"/>
        </w:rPr>
        <w:t>（以下简称</w:t>
      </w:r>
      <w:r w:rsidRPr="002660C5">
        <w:rPr>
          <w:rFonts w:asciiTheme="minorEastAsia" w:eastAsiaTheme="minorEastAsia" w:hAnsiTheme="minorEastAsia" w:cs="Arial"/>
          <w:color w:val="000000"/>
          <w:kern w:val="0"/>
          <w:sz w:val="24"/>
        </w:rPr>
        <w:t>“</w:t>
      </w:r>
      <w:r w:rsidRPr="002660C5">
        <w:rPr>
          <w:rFonts w:asciiTheme="minorEastAsia" w:eastAsiaTheme="minorEastAsia" w:hAnsiTheme="minorEastAsia" w:cs="宋体" w:hint="eastAsia"/>
          <w:color w:val="000000"/>
          <w:kern w:val="0"/>
          <w:sz w:val="24"/>
        </w:rPr>
        <w:t>激励计划</w:t>
      </w:r>
      <w:r w:rsidRPr="002660C5">
        <w:rPr>
          <w:rFonts w:asciiTheme="minorEastAsia" w:eastAsiaTheme="minorEastAsia" w:hAnsiTheme="minorEastAsia" w:cs="Arial"/>
          <w:color w:val="000000"/>
          <w:kern w:val="0"/>
          <w:sz w:val="24"/>
        </w:rPr>
        <w:t>”</w:t>
      </w:r>
      <w:r w:rsidRPr="002660C5">
        <w:rPr>
          <w:rFonts w:asciiTheme="minorEastAsia" w:eastAsiaTheme="minorEastAsia" w:hAnsiTheme="minorEastAsia" w:cs="宋体" w:hint="eastAsia"/>
          <w:color w:val="000000"/>
          <w:kern w:val="0"/>
          <w:sz w:val="24"/>
        </w:rPr>
        <w:t>）等的相关规定，</w:t>
      </w:r>
      <w:r w:rsidR="001F6E9D" w:rsidRPr="002660C5">
        <w:rPr>
          <w:rFonts w:asciiTheme="minorEastAsia" w:eastAsiaTheme="minorEastAsia" w:hAnsiTheme="minorEastAsia" w:cs="宋体" w:hint="eastAsia"/>
          <w:color w:val="000000"/>
          <w:kern w:val="0"/>
          <w:sz w:val="24"/>
        </w:rPr>
        <w:t>公司</w:t>
      </w:r>
      <w:r w:rsidR="00B67949">
        <w:rPr>
          <w:rFonts w:asciiTheme="minorEastAsia" w:eastAsiaTheme="minorEastAsia" w:hAnsiTheme="minorEastAsia" w:cs="宋体" w:hint="eastAsia"/>
          <w:color w:val="000000"/>
          <w:kern w:val="0"/>
          <w:sz w:val="24"/>
        </w:rPr>
        <w:t>已</w:t>
      </w:r>
      <w:r w:rsidRPr="002660C5">
        <w:rPr>
          <w:rFonts w:asciiTheme="minorEastAsia" w:eastAsiaTheme="minorEastAsia" w:hAnsiTheme="minorEastAsia" w:cs="宋体" w:hint="eastAsia"/>
          <w:color w:val="000000"/>
          <w:kern w:val="0"/>
          <w:sz w:val="24"/>
        </w:rPr>
        <w:t>完成了</w:t>
      </w:r>
      <w:r w:rsidR="001F6E9D" w:rsidRPr="002660C5">
        <w:rPr>
          <w:rFonts w:asciiTheme="minorEastAsia" w:eastAsiaTheme="minorEastAsia" w:hAnsiTheme="minorEastAsia" w:cs="Arial"/>
          <w:color w:val="000000"/>
          <w:kern w:val="0"/>
          <w:sz w:val="24"/>
        </w:rPr>
        <w:t>202</w:t>
      </w:r>
      <w:r w:rsidR="001F6E9D" w:rsidRPr="002660C5">
        <w:rPr>
          <w:rFonts w:asciiTheme="minorEastAsia" w:eastAsiaTheme="minorEastAsia" w:hAnsiTheme="minorEastAsia" w:cs="Arial" w:hint="eastAsia"/>
          <w:color w:val="000000"/>
          <w:kern w:val="0"/>
          <w:sz w:val="24"/>
        </w:rPr>
        <w:t>1</w:t>
      </w:r>
      <w:r w:rsidR="00D55908">
        <w:rPr>
          <w:rFonts w:asciiTheme="minorEastAsia" w:eastAsiaTheme="minorEastAsia" w:hAnsiTheme="minorEastAsia" w:cs="宋体" w:hint="eastAsia"/>
          <w:color w:val="000000"/>
          <w:kern w:val="0"/>
          <w:sz w:val="24"/>
        </w:rPr>
        <w:t>年股权激励计划预留股票期权的</w:t>
      </w:r>
      <w:r w:rsidRPr="002660C5">
        <w:rPr>
          <w:rFonts w:asciiTheme="minorEastAsia" w:eastAsiaTheme="minorEastAsia" w:hAnsiTheme="minorEastAsia" w:cs="宋体" w:hint="eastAsia"/>
          <w:color w:val="000000"/>
          <w:kern w:val="0"/>
          <w:sz w:val="24"/>
        </w:rPr>
        <w:t>授予登记工作，有关具体情况公告如下：</w:t>
      </w:r>
    </w:p>
    <w:p w14:paraId="43BF73F6" w14:textId="0F83B687" w:rsidR="00AB55FC" w:rsidRPr="00546560" w:rsidRDefault="00380D00" w:rsidP="00C67D79">
      <w:pPr>
        <w:spacing w:beforeLines="50" w:before="156" w:afterLines="50" w:after="156" w:line="500" w:lineRule="exact"/>
        <w:ind w:firstLineChars="200" w:firstLine="482"/>
        <w:outlineLvl w:val="0"/>
        <w:rPr>
          <w:rFonts w:asciiTheme="minorEastAsia" w:eastAsiaTheme="minorEastAsia" w:hAnsiTheme="minorEastAsia"/>
          <w:b/>
          <w:sz w:val="24"/>
        </w:rPr>
      </w:pPr>
      <w:r w:rsidRPr="00546560">
        <w:rPr>
          <w:rFonts w:asciiTheme="minorEastAsia" w:eastAsiaTheme="minorEastAsia" w:hAnsiTheme="minorEastAsia" w:hint="eastAsia"/>
          <w:b/>
          <w:sz w:val="24"/>
        </w:rPr>
        <w:t>一</w:t>
      </w:r>
      <w:r w:rsidR="00EF50F2" w:rsidRPr="00546560">
        <w:rPr>
          <w:rFonts w:asciiTheme="minorEastAsia" w:eastAsiaTheme="minorEastAsia" w:hAnsiTheme="minorEastAsia" w:hint="eastAsia"/>
          <w:b/>
          <w:sz w:val="24"/>
        </w:rPr>
        <w:t>、</w:t>
      </w:r>
      <w:bookmarkEnd w:id="0"/>
      <w:r w:rsidR="008632D0" w:rsidRPr="00546560">
        <w:rPr>
          <w:rFonts w:asciiTheme="minorEastAsia" w:eastAsiaTheme="minorEastAsia" w:hAnsiTheme="minorEastAsia" w:hint="eastAsia"/>
          <w:b/>
          <w:sz w:val="24"/>
        </w:rPr>
        <w:t>股票期权简述及已履行的程序</w:t>
      </w:r>
    </w:p>
    <w:p w14:paraId="16C0D6D8"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（一）、股权激励简述</w:t>
      </w:r>
    </w:p>
    <w:p w14:paraId="7EFECFCB"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、本激励计划所采用的激励形式为股票期权，其股票来源为公司</w:t>
      </w:r>
      <w:r w:rsidRPr="00546560">
        <w:rPr>
          <w:rFonts w:asciiTheme="minorEastAsia" w:eastAsiaTheme="minorEastAsia" w:hAnsiTheme="minorEastAsia" w:hint="eastAsia"/>
          <w:color w:val="000000"/>
          <w:sz w:val="24"/>
        </w:rPr>
        <w:t>向激励对象定向发行新股。</w:t>
      </w:r>
      <w:r>
        <w:rPr>
          <w:rFonts w:asciiTheme="minorEastAsia" w:eastAsiaTheme="minorEastAsia" w:hAnsiTheme="minorEastAsia" w:hint="eastAsia"/>
          <w:color w:val="000000"/>
          <w:sz w:val="24"/>
        </w:rPr>
        <w:t>该激励计划已经公司2021年第一次临时股东大会审议通过。</w:t>
      </w:r>
    </w:p>
    <w:p w14:paraId="107688D9"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2、本激励计划拟向所有激励对象授予5,000万份股票期权，占本激励计划公告时公司股本总额的3.29%。其中，首次授予4,500万份，占本激励计划拟授予股票总数的90%，占本计划公告时公司股本总数的2.96%；预留500万份，占本激励计划拟授予股票总数的10%，占本计划公告时公司股本总额的0.33%。</w:t>
      </w:r>
    </w:p>
    <w:p w14:paraId="2E6CA81A"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lastRenderedPageBreak/>
        <w:t>本激励计划拟授予的股票期权总数，不超过本计划公告时公司股本总额的10%。任何一名激励对象通过全部有效的股权激励计划获授的本公司股票累计不超过公司股本总额的1%。</w:t>
      </w:r>
    </w:p>
    <w:p w14:paraId="1979BAED"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Pr="00546560">
        <w:rPr>
          <w:rFonts w:asciiTheme="minorEastAsia" w:eastAsiaTheme="minorEastAsia" w:hAnsiTheme="minorEastAsia" w:hint="eastAsia"/>
          <w:color w:val="000000"/>
          <w:sz w:val="24"/>
        </w:rPr>
        <w:t>、本激励计划的激励对象不存在《上市公司股权激励管理办法》第八条规定的不得成为激励对象的情形。华孚时尚承诺持股5%以上的主要股东或实际控制人及其配偶、父母、子女未参与本激励计划。</w:t>
      </w:r>
    </w:p>
    <w:p w14:paraId="6E04C287"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（二）、股权激励计划已履行的决策程序</w:t>
      </w:r>
    </w:p>
    <w:p w14:paraId="47A7AA3B"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1、公司于2021年1月12日召开第七届董事会2021年第一次临时会议，第七届监事会第十六次会议，审议通过了《关于公司2021年股权激励计划（草案）及其摘要的议案》、《关于公司2021年股权激励计划实施考核管理办法的议案》、《关于提请股东大会授权董事会办理公司2021年股权激励计划相关事宜的议案》，公司监事会及独立董事已对本次股权激励计划发表的相关意见，北京市君泽君（上海）律师事务所就公司本次股权激励事项发表了法律意见书，详情可参见公司于2021年1月13日公告在《证券时报》，《中国证券报》及巨潮资讯网</w:t>
      </w:r>
    </w:p>
    <w:p w14:paraId="063A7693" w14:textId="77777777" w:rsidR="00D55908" w:rsidRPr="00546560" w:rsidRDefault="00D55908" w:rsidP="00D55908">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w:t>
      </w:r>
      <w:r w:rsidRPr="00546560">
        <w:rPr>
          <w:rFonts w:asciiTheme="minorEastAsia" w:eastAsiaTheme="minorEastAsia" w:hAnsiTheme="minorEastAsia"/>
          <w:sz w:val="24"/>
        </w:rPr>
        <w:t>http://</w:t>
      </w:r>
      <w:proofErr w:type="spellStart"/>
      <w:r w:rsidRPr="00546560">
        <w:rPr>
          <w:rFonts w:asciiTheme="minorEastAsia" w:eastAsiaTheme="minorEastAsia" w:hAnsiTheme="minorEastAsia"/>
          <w:sz w:val="24"/>
        </w:rPr>
        <w:t>www.cninfo.com.cn</w:t>
      </w:r>
      <w:proofErr w:type="spellEnd"/>
      <w:r w:rsidRPr="00546560">
        <w:rPr>
          <w:rFonts w:asciiTheme="minorEastAsia" w:eastAsiaTheme="minorEastAsia" w:hAnsiTheme="minorEastAsia" w:hint="eastAsia"/>
          <w:sz w:val="24"/>
        </w:rPr>
        <w:t>）上的相关公告。</w:t>
      </w:r>
    </w:p>
    <w:p w14:paraId="0BE3906A" w14:textId="77777777" w:rsidR="00D55908" w:rsidRPr="00546560" w:rsidRDefault="00D55908" w:rsidP="00D55908">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 xml:space="preserve">    2、公司于2021年1月23日在《证券时报》，《中国证券报》及巨潮资讯网</w:t>
      </w:r>
    </w:p>
    <w:p w14:paraId="3427F006" w14:textId="77777777" w:rsidR="00D55908" w:rsidRPr="00546560" w:rsidRDefault="00D55908" w:rsidP="00D55908">
      <w:pPr>
        <w:spacing w:line="480" w:lineRule="exact"/>
        <w:rPr>
          <w:rFonts w:asciiTheme="minorEastAsia" w:eastAsiaTheme="minorEastAsia" w:hAnsiTheme="minorEastAsia"/>
          <w:sz w:val="24"/>
        </w:rPr>
      </w:pPr>
      <w:r w:rsidRPr="00546560">
        <w:rPr>
          <w:rFonts w:asciiTheme="minorEastAsia" w:eastAsiaTheme="minorEastAsia" w:hAnsiTheme="minorEastAsia" w:hint="eastAsia"/>
          <w:sz w:val="24"/>
        </w:rPr>
        <w:t>（</w:t>
      </w:r>
      <w:r w:rsidRPr="00546560">
        <w:rPr>
          <w:rFonts w:asciiTheme="minorEastAsia" w:eastAsiaTheme="minorEastAsia" w:hAnsiTheme="minorEastAsia"/>
          <w:sz w:val="24"/>
        </w:rPr>
        <w:t>http://</w:t>
      </w:r>
      <w:proofErr w:type="spellStart"/>
      <w:r w:rsidRPr="00546560">
        <w:rPr>
          <w:rFonts w:asciiTheme="minorEastAsia" w:eastAsiaTheme="minorEastAsia" w:hAnsiTheme="minorEastAsia"/>
          <w:sz w:val="24"/>
        </w:rPr>
        <w:t>www.cninfo.com.cn</w:t>
      </w:r>
      <w:proofErr w:type="spellEnd"/>
      <w:r w:rsidRPr="00546560">
        <w:rPr>
          <w:rFonts w:asciiTheme="minorEastAsia" w:eastAsiaTheme="minorEastAsia" w:hAnsiTheme="minorEastAsia" w:hint="eastAsia"/>
          <w:sz w:val="24"/>
        </w:rPr>
        <w:t>）公告了《监事会关于2021年股票期权激励对象名单的公示情况说明及核查意见》（2021-06）。公司对本次股权激励计划的激励对象名单进行了公示，公示期为2021年1月12日至2021年1月22日，公示期间公司未收到员工对本激励计划激励对象提出的异议。</w:t>
      </w:r>
    </w:p>
    <w:p w14:paraId="7B2FF4E3" w14:textId="77777777" w:rsidR="00D55908" w:rsidRDefault="00D55908" w:rsidP="00D55908">
      <w:pPr>
        <w:spacing w:line="48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3、公司于2021年1月29日召开2021年第一次临时股东大会，审议通过了《关于公司2021年股权激励计划（草案）及其摘要的议案》、《关于公司2021年股权激励计划实施考核管理办法的议案》、《关于提请股东大会授权董事会办理公司2021年股权激励计划相关事宜的议案》，并在《证券时报》，《中国证券报》及巨潮资讯网（</w:t>
      </w:r>
      <w:r w:rsidRPr="00546560">
        <w:rPr>
          <w:rFonts w:asciiTheme="minorEastAsia" w:eastAsiaTheme="minorEastAsia" w:hAnsiTheme="minorEastAsia"/>
          <w:sz w:val="24"/>
        </w:rPr>
        <w:t>http://</w:t>
      </w:r>
      <w:proofErr w:type="spellStart"/>
      <w:r w:rsidRPr="00546560">
        <w:rPr>
          <w:rFonts w:asciiTheme="minorEastAsia" w:eastAsiaTheme="minorEastAsia" w:hAnsiTheme="minorEastAsia"/>
          <w:sz w:val="24"/>
        </w:rPr>
        <w:t>www.cninfo.com.cn</w:t>
      </w:r>
      <w:proofErr w:type="spellEnd"/>
      <w:r w:rsidRPr="00546560">
        <w:rPr>
          <w:rFonts w:asciiTheme="minorEastAsia" w:eastAsiaTheme="minorEastAsia" w:hAnsiTheme="minorEastAsia" w:hint="eastAsia"/>
          <w:sz w:val="24"/>
        </w:rPr>
        <w:t>）公告了《华孚时尚股份有限公司2021年第一次临时股东大会决议公告》（2021-09）及《关于2021年股权激励计划激励对象及内幕信息知情人买卖股票情况自查报告》（2021-08）。</w:t>
      </w:r>
    </w:p>
    <w:p w14:paraId="79D29914" w14:textId="77777777" w:rsidR="00D55908" w:rsidRDefault="00D55908" w:rsidP="00D55908">
      <w:pPr>
        <w:spacing w:line="480" w:lineRule="exact"/>
        <w:ind w:firstLine="480"/>
        <w:rPr>
          <w:rFonts w:asciiTheme="minorEastAsia" w:eastAsiaTheme="minorEastAsia" w:hAnsiTheme="minorEastAsia"/>
          <w:sz w:val="24"/>
        </w:rPr>
      </w:pPr>
      <w:r>
        <w:rPr>
          <w:rFonts w:asciiTheme="minorEastAsia" w:eastAsiaTheme="minorEastAsia" w:hAnsiTheme="minorEastAsia" w:hint="eastAsia"/>
          <w:sz w:val="24"/>
        </w:rPr>
        <w:t>4、公司</w:t>
      </w:r>
      <w:r w:rsidRPr="00496EDE">
        <w:rPr>
          <w:rFonts w:asciiTheme="minorEastAsia" w:eastAsiaTheme="minorEastAsia" w:hAnsiTheme="minorEastAsia" w:hint="eastAsia"/>
          <w:sz w:val="24"/>
        </w:rPr>
        <w:t>于2021年2月2日召开第七届董事会2021年第二次临时会议，审议通过《关于向激励对象授予股票期权的议案》，根据公司《2021年股票期权激励计划（草案）》 的规定和公司2021年第一次临时股东大会的授权，公司董事会确定公司2021年股票期权的</w:t>
      </w:r>
      <w:r>
        <w:rPr>
          <w:rFonts w:asciiTheme="minorEastAsia" w:eastAsiaTheme="minorEastAsia" w:hAnsiTheme="minorEastAsia" w:hint="eastAsia"/>
          <w:sz w:val="24"/>
        </w:rPr>
        <w:t>首次</w:t>
      </w:r>
      <w:r w:rsidRPr="00496EDE">
        <w:rPr>
          <w:rFonts w:asciiTheme="minorEastAsia" w:eastAsiaTheme="minorEastAsia" w:hAnsiTheme="minorEastAsia" w:hint="eastAsia"/>
          <w:sz w:val="24"/>
        </w:rPr>
        <w:t>授予日为2021年2月2日，向178名激励对象授予股票期权4,500万份，占目前公司总股本的2.</w:t>
      </w:r>
      <w:r>
        <w:rPr>
          <w:rFonts w:asciiTheme="minorEastAsia" w:eastAsiaTheme="minorEastAsia" w:hAnsiTheme="minorEastAsia" w:hint="eastAsia"/>
          <w:sz w:val="24"/>
        </w:rPr>
        <w:t>51</w:t>
      </w:r>
      <w:r w:rsidRPr="00496EDE">
        <w:rPr>
          <w:rFonts w:asciiTheme="minorEastAsia" w:eastAsiaTheme="minorEastAsia" w:hAnsiTheme="minorEastAsia" w:hint="eastAsia"/>
          <w:sz w:val="24"/>
        </w:rPr>
        <w:t>%。</w:t>
      </w:r>
    </w:p>
    <w:p w14:paraId="1F4794C5" w14:textId="77777777" w:rsidR="00D55908" w:rsidRDefault="00D55908" w:rsidP="00D55908">
      <w:pPr>
        <w:spacing w:line="480" w:lineRule="exact"/>
        <w:ind w:firstLine="480"/>
        <w:rPr>
          <w:rFonts w:asciiTheme="minorEastAsia" w:eastAsiaTheme="minorEastAsia" w:hAnsiTheme="minorEastAsia"/>
          <w:sz w:val="24"/>
        </w:rPr>
      </w:pPr>
      <w:r>
        <w:rPr>
          <w:rFonts w:asciiTheme="minorEastAsia" w:eastAsiaTheme="minorEastAsia" w:hAnsiTheme="minorEastAsia" w:hint="eastAsia"/>
          <w:sz w:val="24"/>
        </w:rPr>
        <w:t>5、公司</w:t>
      </w:r>
      <w:r w:rsidRPr="00496EDE">
        <w:rPr>
          <w:rFonts w:asciiTheme="minorEastAsia" w:eastAsiaTheme="minorEastAsia" w:hAnsiTheme="minorEastAsia" w:hint="eastAsia"/>
          <w:sz w:val="24"/>
        </w:rPr>
        <w:t>于2021年11月30日召开第七届董事会2021年第四次临时会议，会议审议通过了《关于调整2021年股票期权行权价格的议案》，根据公司2021年股票期权激励计划的有关规定及公司2021年前三季度利润分配实施情况，公司将2021年股票期权激励计划首次授予股票期权行权价格应由4.41元/股调整为 4.23元/股。</w:t>
      </w:r>
    </w:p>
    <w:p w14:paraId="182310D3" w14:textId="77777777" w:rsidR="00D55908" w:rsidRPr="00546560" w:rsidRDefault="00D55908" w:rsidP="00D55908">
      <w:pPr>
        <w:spacing w:line="480" w:lineRule="exact"/>
        <w:ind w:firstLine="480"/>
        <w:rPr>
          <w:rFonts w:asciiTheme="minorEastAsia" w:eastAsiaTheme="minorEastAsia" w:hAnsiTheme="minorEastAsia"/>
          <w:sz w:val="24"/>
        </w:rPr>
      </w:pPr>
      <w:r w:rsidRPr="00496EDE">
        <w:rPr>
          <w:rFonts w:asciiTheme="minorEastAsia" w:eastAsiaTheme="minorEastAsia" w:hAnsiTheme="minorEastAsia" w:hint="eastAsia"/>
          <w:sz w:val="24"/>
        </w:rPr>
        <w:t>6、公司董事会于2021年12月24日召开第八届董事会20</w:t>
      </w:r>
      <w:r w:rsidRPr="00496EDE">
        <w:rPr>
          <w:rFonts w:asciiTheme="minorEastAsia" w:eastAsiaTheme="minorEastAsia" w:hAnsiTheme="minorEastAsia"/>
          <w:sz w:val="24"/>
        </w:rPr>
        <w:t>2</w:t>
      </w:r>
      <w:r w:rsidRPr="00496EDE">
        <w:rPr>
          <w:rFonts w:asciiTheme="minorEastAsia" w:eastAsiaTheme="minorEastAsia" w:hAnsiTheme="minorEastAsia" w:hint="eastAsia"/>
          <w:sz w:val="24"/>
        </w:rPr>
        <w:t>1年第一次临时会议，审议通过《关于向2021年股权激励计划激励对象授予预留股票期权的议案》，根据公司《2021年股票期权激励计划（草案）》</w:t>
      </w:r>
      <w:r w:rsidRPr="00496EDE">
        <w:rPr>
          <w:rFonts w:asciiTheme="minorEastAsia" w:eastAsiaTheme="minorEastAsia" w:hAnsiTheme="minorEastAsia"/>
          <w:sz w:val="24"/>
        </w:rPr>
        <w:t xml:space="preserve"> </w:t>
      </w:r>
      <w:r w:rsidRPr="00496EDE">
        <w:rPr>
          <w:rFonts w:asciiTheme="minorEastAsia" w:eastAsiaTheme="minorEastAsia" w:hAnsiTheme="minorEastAsia" w:hint="eastAsia"/>
          <w:sz w:val="24"/>
        </w:rPr>
        <w:t>的规定和公司2021年第一次临时股东大会的授权，公司董事会确定公司2021年股票期权预留部分的授予日为2021年12月24日，向39名激励对象授予股票期权500万份，占目前公司总股本的0.28%，行权价格为4.43元/股。</w:t>
      </w:r>
    </w:p>
    <w:p w14:paraId="3E83004F" w14:textId="413035A9" w:rsidR="00C70B8C" w:rsidRPr="00546560" w:rsidRDefault="00C70B8C" w:rsidP="001F6E9D">
      <w:pPr>
        <w:spacing w:beforeLines="50" w:before="156" w:afterLines="50" w:after="156" w:line="500" w:lineRule="exact"/>
        <w:ind w:firstLineChars="200" w:firstLine="482"/>
        <w:rPr>
          <w:rFonts w:asciiTheme="minorEastAsia" w:eastAsiaTheme="minorEastAsia" w:hAnsiTheme="minorEastAsia"/>
          <w:b/>
          <w:sz w:val="24"/>
        </w:rPr>
      </w:pPr>
      <w:r w:rsidRPr="00546560">
        <w:rPr>
          <w:rFonts w:asciiTheme="minorEastAsia" w:eastAsiaTheme="minorEastAsia" w:hAnsiTheme="minorEastAsia" w:hint="eastAsia"/>
          <w:b/>
          <w:sz w:val="24"/>
        </w:rPr>
        <w:t>二</w:t>
      </w:r>
      <w:r w:rsidR="001F6E9D">
        <w:rPr>
          <w:rFonts w:asciiTheme="minorEastAsia" w:eastAsiaTheme="minorEastAsia" w:hAnsiTheme="minorEastAsia" w:hint="eastAsia"/>
          <w:b/>
          <w:sz w:val="24"/>
        </w:rPr>
        <w:t>、</w:t>
      </w:r>
      <w:r w:rsidR="0072245F" w:rsidRPr="00546560">
        <w:rPr>
          <w:rFonts w:asciiTheme="minorEastAsia" w:eastAsiaTheme="minorEastAsia" w:hAnsiTheme="minorEastAsia" w:hint="eastAsia"/>
          <w:b/>
          <w:sz w:val="24"/>
        </w:rPr>
        <w:t>本次股票期权授予</w:t>
      </w:r>
      <w:r w:rsidR="001F6E9D">
        <w:rPr>
          <w:rFonts w:asciiTheme="minorEastAsia" w:eastAsiaTheme="minorEastAsia" w:hAnsiTheme="minorEastAsia" w:hint="eastAsia"/>
          <w:b/>
          <w:sz w:val="24"/>
        </w:rPr>
        <w:t>登记</w:t>
      </w:r>
      <w:r w:rsidR="0072245F" w:rsidRPr="00546560">
        <w:rPr>
          <w:rFonts w:asciiTheme="minorEastAsia" w:eastAsiaTheme="minorEastAsia" w:hAnsiTheme="minorEastAsia" w:hint="eastAsia"/>
          <w:b/>
          <w:sz w:val="24"/>
        </w:rPr>
        <w:t>情况</w:t>
      </w:r>
    </w:p>
    <w:p w14:paraId="3E9EA8C1" w14:textId="2362393E"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（一）授予情况</w:t>
      </w:r>
    </w:p>
    <w:p w14:paraId="2108005A" w14:textId="58F08CA5"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1、授予日：2021年</w:t>
      </w:r>
      <w:r w:rsidR="00D55908">
        <w:rPr>
          <w:rFonts w:asciiTheme="minorEastAsia" w:eastAsiaTheme="minorEastAsia" w:hAnsiTheme="minorEastAsia" w:hint="eastAsia"/>
          <w:sz w:val="24"/>
        </w:rPr>
        <w:t>1</w:t>
      </w:r>
      <w:r w:rsidRPr="00546560">
        <w:rPr>
          <w:rFonts w:asciiTheme="minorEastAsia" w:eastAsiaTheme="minorEastAsia" w:hAnsiTheme="minorEastAsia" w:hint="eastAsia"/>
          <w:sz w:val="24"/>
        </w:rPr>
        <w:t>2月</w:t>
      </w:r>
      <w:r w:rsidR="007923D1" w:rsidRPr="00546560">
        <w:rPr>
          <w:rFonts w:asciiTheme="minorEastAsia" w:eastAsiaTheme="minorEastAsia" w:hAnsiTheme="minorEastAsia" w:hint="eastAsia"/>
          <w:sz w:val="24"/>
        </w:rPr>
        <w:t>2</w:t>
      </w:r>
      <w:r w:rsidR="00D55908">
        <w:rPr>
          <w:rFonts w:asciiTheme="minorEastAsia" w:eastAsiaTheme="minorEastAsia" w:hAnsiTheme="minorEastAsia" w:hint="eastAsia"/>
          <w:sz w:val="24"/>
        </w:rPr>
        <w:t>4</w:t>
      </w:r>
      <w:r w:rsidRPr="00546560">
        <w:rPr>
          <w:rFonts w:asciiTheme="minorEastAsia" w:eastAsiaTheme="minorEastAsia" w:hAnsiTheme="minorEastAsia" w:hint="eastAsia"/>
          <w:sz w:val="24"/>
        </w:rPr>
        <w:t>日</w:t>
      </w:r>
    </w:p>
    <w:p w14:paraId="0E9AB7C7" w14:textId="6BB9FEBF"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2、授予人数：</w:t>
      </w:r>
      <w:r w:rsidR="00D55908">
        <w:rPr>
          <w:rFonts w:asciiTheme="minorEastAsia" w:eastAsiaTheme="minorEastAsia" w:hAnsiTheme="minorEastAsia" w:hint="eastAsia"/>
          <w:sz w:val="24"/>
        </w:rPr>
        <w:t>39</w:t>
      </w:r>
      <w:r w:rsidRPr="00546560">
        <w:rPr>
          <w:rFonts w:asciiTheme="minorEastAsia" w:eastAsiaTheme="minorEastAsia" w:hAnsiTheme="minorEastAsia" w:hint="eastAsia"/>
          <w:sz w:val="24"/>
        </w:rPr>
        <w:t>人</w:t>
      </w:r>
    </w:p>
    <w:p w14:paraId="3C66FFEA" w14:textId="0EEBFDB6"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3、授予数量：500万份</w:t>
      </w:r>
    </w:p>
    <w:p w14:paraId="2F63542C" w14:textId="12E35B95"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4、行权价格：</w:t>
      </w:r>
      <w:r w:rsidR="00D55908">
        <w:rPr>
          <w:rFonts w:asciiTheme="minorEastAsia" w:eastAsiaTheme="minorEastAsia" w:hAnsiTheme="minorEastAsia" w:hint="eastAsia"/>
          <w:sz w:val="24"/>
        </w:rPr>
        <w:t>4.43</w:t>
      </w:r>
      <w:r w:rsidRPr="00546560">
        <w:rPr>
          <w:rFonts w:asciiTheme="minorEastAsia" w:eastAsiaTheme="minorEastAsia" w:hAnsiTheme="minorEastAsia" w:hint="eastAsia"/>
          <w:sz w:val="24"/>
        </w:rPr>
        <w:t>元/股</w:t>
      </w:r>
    </w:p>
    <w:p w14:paraId="2B9C3A6A" w14:textId="6B230305" w:rsidR="0072245F" w:rsidRPr="00546560" w:rsidRDefault="0072245F" w:rsidP="000C441D">
      <w:pPr>
        <w:spacing w:line="50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5、股票来源：公司向激励对象定向发行公司</w:t>
      </w:r>
      <w:r w:rsidRPr="00546560">
        <w:rPr>
          <w:rFonts w:asciiTheme="minorEastAsia" w:eastAsiaTheme="minorEastAsia" w:hAnsiTheme="minorEastAsia"/>
          <w:sz w:val="24"/>
        </w:rPr>
        <w:t xml:space="preserve"> A </w:t>
      </w:r>
      <w:r w:rsidRPr="00546560">
        <w:rPr>
          <w:rFonts w:asciiTheme="minorEastAsia" w:eastAsiaTheme="minorEastAsia" w:hAnsiTheme="minorEastAsia" w:hint="eastAsia"/>
          <w:sz w:val="24"/>
        </w:rPr>
        <w:t>股普通股</w:t>
      </w:r>
    </w:p>
    <w:p w14:paraId="40B543B1"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（二）激励计划的有效期，可行权日及行权安排</w:t>
      </w:r>
    </w:p>
    <w:p w14:paraId="04F2C6BB"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本激励计划</w:t>
      </w:r>
      <w:r>
        <w:rPr>
          <w:rFonts w:asciiTheme="minorEastAsia" w:eastAsiaTheme="minorEastAsia" w:hAnsiTheme="minorEastAsia" w:hint="eastAsia"/>
          <w:sz w:val="24"/>
        </w:rPr>
        <w:t>预留部分期权</w:t>
      </w:r>
      <w:r w:rsidRPr="00546560">
        <w:rPr>
          <w:rFonts w:asciiTheme="minorEastAsia" w:eastAsiaTheme="minorEastAsia" w:hAnsiTheme="minorEastAsia" w:hint="eastAsia"/>
          <w:sz w:val="24"/>
        </w:rPr>
        <w:t>有效期自股票期权授予之日起至激励</w:t>
      </w:r>
      <w:proofErr w:type="gramStart"/>
      <w:r w:rsidRPr="00546560">
        <w:rPr>
          <w:rFonts w:asciiTheme="minorEastAsia" w:eastAsiaTheme="minorEastAsia" w:hAnsiTheme="minorEastAsia" w:hint="eastAsia"/>
          <w:sz w:val="24"/>
        </w:rPr>
        <w:t>对象获</w:t>
      </w:r>
      <w:proofErr w:type="gramEnd"/>
      <w:r w:rsidRPr="00546560">
        <w:rPr>
          <w:rFonts w:asciiTheme="minorEastAsia" w:eastAsiaTheme="minorEastAsia" w:hAnsiTheme="minorEastAsia" w:hint="eastAsia"/>
          <w:sz w:val="24"/>
        </w:rPr>
        <w:t>授的股票期权全部行权或注销之日止，最长不超过</w:t>
      </w:r>
      <w:r>
        <w:rPr>
          <w:rFonts w:asciiTheme="minorEastAsia" w:eastAsiaTheme="minorEastAsia" w:hAnsiTheme="minorEastAsia" w:hint="eastAsia"/>
          <w:sz w:val="24"/>
        </w:rPr>
        <w:t>36</w:t>
      </w:r>
      <w:r w:rsidRPr="00546560">
        <w:rPr>
          <w:rFonts w:asciiTheme="minorEastAsia" w:eastAsiaTheme="minorEastAsia" w:hAnsiTheme="minorEastAsia" w:hint="eastAsia"/>
          <w:sz w:val="24"/>
        </w:rPr>
        <w:t>个月。</w:t>
      </w:r>
    </w:p>
    <w:p w14:paraId="70BE96D9" w14:textId="77777777" w:rsidR="00D55908" w:rsidRPr="00546560" w:rsidRDefault="00D55908" w:rsidP="00D55908">
      <w:pPr>
        <w:spacing w:line="480" w:lineRule="exact"/>
        <w:ind w:firstLineChars="200" w:firstLine="480"/>
        <w:rPr>
          <w:rFonts w:asciiTheme="minorEastAsia" w:eastAsiaTheme="minorEastAsia" w:hAnsiTheme="minorEastAsia"/>
          <w:sz w:val="24"/>
        </w:rPr>
      </w:pPr>
      <w:r w:rsidRPr="00546560">
        <w:rPr>
          <w:rFonts w:asciiTheme="minorEastAsia" w:eastAsiaTheme="minorEastAsia" w:hAnsiTheme="minorEastAsia" w:hint="eastAsia"/>
          <w:sz w:val="24"/>
        </w:rPr>
        <w:t>在本激励计划</w:t>
      </w:r>
      <w:r>
        <w:rPr>
          <w:rFonts w:asciiTheme="minorEastAsia" w:eastAsiaTheme="minorEastAsia" w:hAnsiTheme="minorEastAsia" w:hint="eastAsia"/>
          <w:sz w:val="24"/>
        </w:rPr>
        <w:t>预留部分授予经公司董事会审议</w:t>
      </w:r>
      <w:r w:rsidRPr="00546560">
        <w:rPr>
          <w:rFonts w:asciiTheme="minorEastAsia" w:eastAsiaTheme="minorEastAsia" w:hAnsiTheme="minorEastAsia" w:hint="eastAsia"/>
          <w:sz w:val="24"/>
        </w:rPr>
        <w:t>通过后，授予的股票期权自授予之日起满</w:t>
      </w:r>
      <w:r w:rsidRPr="00546560">
        <w:rPr>
          <w:rFonts w:asciiTheme="minorEastAsia" w:eastAsiaTheme="minorEastAsia" w:hAnsiTheme="minorEastAsia"/>
          <w:sz w:val="24"/>
        </w:rPr>
        <w:t>12</w:t>
      </w:r>
      <w:r w:rsidRPr="00546560">
        <w:rPr>
          <w:rFonts w:asciiTheme="minorEastAsia" w:eastAsiaTheme="minorEastAsia" w:hAnsiTheme="minorEastAsia" w:hint="eastAsia"/>
          <w:sz w:val="24"/>
        </w:rPr>
        <w:t>个月、</w:t>
      </w:r>
      <w:r w:rsidRPr="00546560">
        <w:rPr>
          <w:rFonts w:asciiTheme="minorEastAsia" w:eastAsiaTheme="minorEastAsia" w:hAnsiTheme="minorEastAsia"/>
          <w:sz w:val="24"/>
        </w:rPr>
        <w:t>24</w:t>
      </w:r>
      <w:r w:rsidRPr="00546560">
        <w:rPr>
          <w:rFonts w:asciiTheme="minorEastAsia" w:eastAsiaTheme="minorEastAsia" w:hAnsiTheme="minorEastAsia" w:hint="eastAsia"/>
          <w:sz w:val="24"/>
        </w:rPr>
        <w:t>个月后开始行权。可行权日必须为交易日，但不得在下列期间内行权：</w:t>
      </w:r>
    </w:p>
    <w:p w14:paraId="5AADF565" w14:textId="77777777" w:rsidR="00D55908" w:rsidRPr="00546560" w:rsidRDefault="00D55908" w:rsidP="00D55908">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1、公司定期报告公告前三十日内，因特殊原因推迟年度报告、半年度报告公告日期的，自原预约公告日前三十日起算，至公告前一日；</w:t>
      </w:r>
    </w:p>
    <w:p w14:paraId="5EAC198D" w14:textId="77777777" w:rsidR="00D55908" w:rsidRPr="00546560" w:rsidRDefault="00D55908" w:rsidP="00D55908">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2、公司业绩预告、业绩快报公告前十日内；</w:t>
      </w:r>
    </w:p>
    <w:p w14:paraId="0B5D2BB7" w14:textId="77777777" w:rsidR="00D55908" w:rsidRPr="00546560" w:rsidRDefault="00D55908" w:rsidP="00D55908">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3、</w:t>
      </w:r>
      <w:proofErr w:type="gramStart"/>
      <w:r w:rsidRPr="00546560">
        <w:rPr>
          <w:rFonts w:asciiTheme="minorEastAsia" w:eastAsiaTheme="minorEastAsia" w:hAnsiTheme="minorEastAsia" w:cs="宋体" w:hint="eastAsia"/>
          <w:color w:val="000000"/>
          <w:sz w:val="24"/>
        </w:rPr>
        <w:t>自可能</w:t>
      </w:r>
      <w:proofErr w:type="gramEnd"/>
      <w:r w:rsidRPr="00546560">
        <w:rPr>
          <w:rFonts w:asciiTheme="minorEastAsia" w:eastAsiaTheme="minorEastAsia" w:hAnsiTheme="minorEastAsia" w:cs="宋体" w:hint="eastAsia"/>
          <w:color w:val="000000"/>
          <w:sz w:val="24"/>
        </w:rPr>
        <w:t>对本公司股票及其衍生品种交易价格产生较大影响的重大事件发生之日或者进入决策程序之日，</w:t>
      </w:r>
      <w:proofErr w:type="gramStart"/>
      <w:r w:rsidRPr="00546560">
        <w:rPr>
          <w:rFonts w:asciiTheme="minorEastAsia" w:eastAsiaTheme="minorEastAsia" w:hAnsiTheme="minorEastAsia" w:cs="宋体" w:hint="eastAsia"/>
          <w:color w:val="000000"/>
          <w:sz w:val="24"/>
        </w:rPr>
        <w:t>至依法</w:t>
      </w:r>
      <w:proofErr w:type="gramEnd"/>
      <w:r w:rsidRPr="00546560">
        <w:rPr>
          <w:rFonts w:asciiTheme="minorEastAsia" w:eastAsiaTheme="minorEastAsia" w:hAnsiTheme="minorEastAsia" w:cs="宋体" w:hint="eastAsia"/>
          <w:color w:val="000000"/>
          <w:sz w:val="24"/>
        </w:rPr>
        <w:t>披露后二个交易日内；</w:t>
      </w:r>
    </w:p>
    <w:p w14:paraId="1062B7C4" w14:textId="77777777" w:rsidR="00D55908" w:rsidRPr="00546560" w:rsidRDefault="00D55908" w:rsidP="00D55908">
      <w:pPr>
        <w:spacing w:line="480" w:lineRule="exact"/>
        <w:ind w:firstLineChars="200" w:firstLine="480"/>
        <w:rPr>
          <w:rFonts w:asciiTheme="minorEastAsia" w:eastAsiaTheme="minorEastAsia" w:hAnsiTheme="minorEastAsia" w:cs="宋体"/>
          <w:color w:val="000000"/>
          <w:sz w:val="24"/>
        </w:rPr>
      </w:pPr>
      <w:r w:rsidRPr="00546560">
        <w:rPr>
          <w:rFonts w:asciiTheme="minorEastAsia" w:eastAsiaTheme="minorEastAsia" w:hAnsiTheme="minorEastAsia" w:cs="宋体" w:hint="eastAsia"/>
          <w:color w:val="000000"/>
          <w:sz w:val="24"/>
        </w:rPr>
        <w:t>4、中国证监会及本所规定的其他期间。</w:t>
      </w:r>
    </w:p>
    <w:p w14:paraId="36309B18" w14:textId="77777777" w:rsidR="00D55908" w:rsidRPr="00546560" w:rsidRDefault="00D55908" w:rsidP="00D55908">
      <w:pPr>
        <w:pStyle w:val="ab"/>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预留部分</w:t>
      </w:r>
      <w:r w:rsidRPr="00546560">
        <w:rPr>
          <w:rFonts w:asciiTheme="minorEastAsia" w:eastAsiaTheme="minorEastAsia" w:hAnsiTheme="minorEastAsia" w:hint="eastAsia"/>
          <w:color w:val="000000"/>
          <w:sz w:val="24"/>
        </w:rPr>
        <w:t>股票期权自授权日起12</w:t>
      </w:r>
      <w:r>
        <w:rPr>
          <w:rFonts w:asciiTheme="minorEastAsia" w:eastAsiaTheme="minorEastAsia" w:hAnsiTheme="minorEastAsia" w:hint="eastAsia"/>
          <w:color w:val="000000"/>
          <w:sz w:val="24"/>
        </w:rPr>
        <w:t>个月后，满足行权条件的，激励对象可以分二</w:t>
      </w:r>
      <w:r w:rsidRPr="00546560">
        <w:rPr>
          <w:rFonts w:asciiTheme="minorEastAsia" w:eastAsiaTheme="minorEastAsia" w:hAnsiTheme="minorEastAsia" w:hint="eastAsia"/>
          <w:color w:val="000000"/>
          <w:sz w:val="24"/>
        </w:rPr>
        <w:t>期申请行权。具体行权安排如下表所示：</w:t>
      </w:r>
    </w:p>
    <w:tbl>
      <w:tblPr>
        <w:tblW w:w="4887"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855"/>
        <w:gridCol w:w="4538"/>
        <w:gridCol w:w="1936"/>
      </w:tblGrid>
      <w:tr w:rsidR="00D55908" w:rsidRPr="00A76B98" w14:paraId="662FA9CE" w14:textId="77777777" w:rsidTr="00D55908">
        <w:trPr>
          <w:trHeight w:val="20"/>
          <w:jc w:val="center"/>
        </w:trPr>
        <w:tc>
          <w:tcPr>
            <w:tcW w:w="1114" w:type="pct"/>
            <w:tcBorders>
              <w:top w:val="double" w:sz="6" w:space="0" w:color="000000"/>
            </w:tcBorders>
            <w:vAlign w:val="center"/>
          </w:tcPr>
          <w:p w14:paraId="01BAA6BD" w14:textId="77777777" w:rsidR="00D55908" w:rsidRPr="00A76B98" w:rsidRDefault="00D55908" w:rsidP="00D55908">
            <w:pPr>
              <w:jc w:val="center"/>
              <w:rPr>
                <w:rFonts w:ascii="宋体" w:hAnsi="宋体"/>
                <w:b/>
                <w:caps/>
                <w:color w:val="000000"/>
                <w:szCs w:val="21"/>
              </w:rPr>
            </w:pPr>
            <w:r w:rsidRPr="00A76B98">
              <w:rPr>
                <w:rFonts w:ascii="宋体" w:hAnsi="宋体" w:hint="eastAsia"/>
                <w:b/>
                <w:caps/>
                <w:color w:val="000000"/>
                <w:szCs w:val="21"/>
              </w:rPr>
              <w:t>行权期</w:t>
            </w:r>
          </w:p>
        </w:tc>
        <w:tc>
          <w:tcPr>
            <w:tcW w:w="2724" w:type="pct"/>
            <w:tcBorders>
              <w:top w:val="double" w:sz="6" w:space="0" w:color="000000"/>
            </w:tcBorders>
            <w:vAlign w:val="center"/>
          </w:tcPr>
          <w:p w14:paraId="709B4AEB" w14:textId="77777777" w:rsidR="00D55908" w:rsidRPr="00A76B98" w:rsidRDefault="00D55908" w:rsidP="00D55908">
            <w:pPr>
              <w:jc w:val="center"/>
              <w:rPr>
                <w:rFonts w:ascii="宋体" w:hAnsi="宋体"/>
                <w:b/>
                <w:caps/>
                <w:color w:val="000000"/>
                <w:szCs w:val="21"/>
              </w:rPr>
            </w:pPr>
            <w:r w:rsidRPr="00A76B98">
              <w:rPr>
                <w:rFonts w:ascii="宋体" w:hAnsi="宋体" w:hint="eastAsia"/>
                <w:b/>
                <w:caps/>
                <w:color w:val="000000"/>
                <w:szCs w:val="21"/>
              </w:rPr>
              <w:t>行权时间</w:t>
            </w:r>
          </w:p>
        </w:tc>
        <w:tc>
          <w:tcPr>
            <w:tcW w:w="1162" w:type="pct"/>
            <w:tcBorders>
              <w:top w:val="double" w:sz="6" w:space="0" w:color="000000"/>
            </w:tcBorders>
            <w:vAlign w:val="center"/>
          </w:tcPr>
          <w:p w14:paraId="1096044D" w14:textId="77777777" w:rsidR="00D55908" w:rsidRPr="00A76B98" w:rsidRDefault="00D55908" w:rsidP="00D55908">
            <w:pPr>
              <w:jc w:val="center"/>
              <w:rPr>
                <w:rFonts w:ascii="宋体" w:hAnsi="宋体"/>
                <w:b/>
                <w:caps/>
                <w:color w:val="000000"/>
                <w:szCs w:val="21"/>
              </w:rPr>
            </w:pPr>
            <w:r w:rsidRPr="00A76B98">
              <w:rPr>
                <w:rFonts w:ascii="宋体" w:hAnsi="宋体" w:hint="eastAsia"/>
                <w:b/>
                <w:caps/>
                <w:color w:val="000000"/>
                <w:szCs w:val="21"/>
              </w:rPr>
              <w:t>可行权比例</w:t>
            </w:r>
          </w:p>
        </w:tc>
      </w:tr>
      <w:tr w:rsidR="00D55908" w:rsidRPr="00A76B98" w14:paraId="4973A319" w14:textId="77777777" w:rsidTr="00D55908">
        <w:trPr>
          <w:trHeight w:val="20"/>
          <w:jc w:val="center"/>
        </w:trPr>
        <w:tc>
          <w:tcPr>
            <w:tcW w:w="1114" w:type="pct"/>
            <w:vAlign w:val="center"/>
          </w:tcPr>
          <w:p w14:paraId="4D9227A4"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hint="eastAsia"/>
                <w:color w:val="000000"/>
                <w:szCs w:val="21"/>
              </w:rPr>
              <w:t>预留股票期权的第一个行权期</w:t>
            </w:r>
          </w:p>
        </w:tc>
        <w:tc>
          <w:tcPr>
            <w:tcW w:w="2724" w:type="pct"/>
            <w:vAlign w:val="center"/>
          </w:tcPr>
          <w:p w14:paraId="7B079651"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hint="eastAsia"/>
                <w:color w:val="000000"/>
                <w:szCs w:val="21"/>
              </w:rPr>
              <w:t>自该部分股票授权日起满</w:t>
            </w:r>
            <w:r w:rsidRPr="00A76B98">
              <w:rPr>
                <w:rFonts w:ascii="宋体" w:hAnsi="宋体"/>
                <w:color w:val="000000"/>
                <w:szCs w:val="21"/>
              </w:rPr>
              <w:t>12</w:t>
            </w:r>
            <w:r w:rsidRPr="00A76B98">
              <w:rPr>
                <w:rFonts w:ascii="宋体" w:hAnsi="宋体" w:hint="eastAsia"/>
                <w:color w:val="000000"/>
                <w:szCs w:val="21"/>
              </w:rPr>
              <w:t>个月后的首个交易日至授权日起</w:t>
            </w:r>
            <w:r w:rsidRPr="00A76B98">
              <w:rPr>
                <w:rFonts w:ascii="宋体" w:hAnsi="宋体"/>
                <w:color w:val="000000"/>
                <w:szCs w:val="21"/>
              </w:rPr>
              <w:t>24</w:t>
            </w:r>
            <w:r w:rsidRPr="00A76B98">
              <w:rPr>
                <w:rFonts w:ascii="宋体" w:hAnsi="宋体" w:hint="eastAsia"/>
                <w:color w:val="000000"/>
                <w:szCs w:val="21"/>
              </w:rPr>
              <w:t>个月内的最后一个交易日止</w:t>
            </w:r>
          </w:p>
        </w:tc>
        <w:tc>
          <w:tcPr>
            <w:tcW w:w="1162" w:type="pct"/>
            <w:vAlign w:val="center"/>
          </w:tcPr>
          <w:p w14:paraId="6D1E9629"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color w:val="000000"/>
                <w:szCs w:val="21"/>
              </w:rPr>
              <w:t>50%</w:t>
            </w:r>
          </w:p>
        </w:tc>
      </w:tr>
      <w:tr w:rsidR="00D55908" w:rsidRPr="00A76B98" w14:paraId="694D950D" w14:textId="77777777" w:rsidTr="00D55908">
        <w:trPr>
          <w:trHeight w:val="20"/>
          <w:jc w:val="center"/>
        </w:trPr>
        <w:tc>
          <w:tcPr>
            <w:tcW w:w="1114" w:type="pct"/>
            <w:tcBorders>
              <w:bottom w:val="double" w:sz="6" w:space="0" w:color="000000"/>
            </w:tcBorders>
            <w:vAlign w:val="center"/>
          </w:tcPr>
          <w:p w14:paraId="7444C7D3"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hint="eastAsia"/>
                <w:color w:val="000000"/>
                <w:szCs w:val="21"/>
              </w:rPr>
              <w:t>预留股票期权的第二个行权期</w:t>
            </w:r>
          </w:p>
        </w:tc>
        <w:tc>
          <w:tcPr>
            <w:tcW w:w="2724" w:type="pct"/>
            <w:tcBorders>
              <w:bottom w:val="double" w:sz="6" w:space="0" w:color="000000"/>
            </w:tcBorders>
            <w:vAlign w:val="center"/>
          </w:tcPr>
          <w:p w14:paraId="0DB2F060"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hint="eastAsia"/>
                <w:color w:val="000000"/>
                <w:szCs w:val="21"/>
              </w:rPr>
              <w:t>自该部分股票授权日起满</w:t>
            </w:r>
            <w:r w:rsidRPr="00A76B98">
              <w:rPr>
                <w:rFonts w:ascii="宋体" w:hAnsi="宋体"/>
                <w:color w:val="000000"/>
                <w:szCs w:val="21"/>
              </w:rPr>
              <w:t>24</w:t>
            </w:r>
            <w:r w:rsidRPr="00A76B98">
              <w:rPr>
                <w:rFonts w:ascii="宋体" w:hAnsi="宋体" w:hint="eastAsia"/>
                <w:color w:val="000000"/>
                <w:szCs w:val="21"/>
              </w:rPr>
              <w:t>个月后的首个交易日至授权日起</w:t>
            </w:r>
            <w:r w:rsidRPr="00A76B98">
              <w:rPr>
                <w:rFonts w:ascii="宋体" w:hAnsi="宋体"/>
                <w:color w:val="000000"/>
                <w:szCs w:val="21"/>
              </w:rPr>
              <w:t>36</w:t>
            </w:r>
            <w:r w:rsidRPr="00A76B98">
              <w:rPr>
                <w:rFonts w:ascii="宋体" w:hAnsi="宋体" w:hint="eastAsia"/>
                <w:color w:val="000000"/>
                <w:szCs w:val="21"/>
              </w:rPr>
              <w:t>个月内的最后一个交易日止</w:t>
            </w:r>
          </w:p>
        </w:tc>
        <w:tc>
          <w:tcPr>
            <w:tcW w:w="1162" w:type="pct"/>
            <w:tcBorders>
              <w:bottom w:val="double" w:sz="6" w:space="0" w:color="000000"/>
            </w:tcBorders>
            <w:vAlign w:val="center"/>
          </w:tcPr>
          <w:p w14:paraId="24BC5D22" w14:textId="77777777" w:rsidR="00D55908" w:rsidRPr="00A76B98" w:rsidRDefault="00D55908" w:rsidP="00D55908">
            <w:pPr>
              <w:spacing w:line="360" w:lineRule="auto"/>
              <w:jc w:val="center"/>
              <w:rPr>
                <w:rFonts w:ascii="宋体" w:hAnsi="宋体"/>
                <w:color w:val="000000"/>
                <w:szCs w:val="21"/>
              </w:rPr>
            </w:pPr>
            <w:r w:rsidRPr="00A76B98">
              <w:rPr>
                <w:rFonts w:ascii="宋体" w:hAnsi="宋体"/>
                <w:color w:val="000000"/>
                <w:szCs w:val="21"/>
              </w:rPr>
              <w:t>50%</w:t>
            </w:r>
          </w:p>
        </w:tc>
      </w:tr>
    </w:tbl>
    <w:p w14:paraId="605BFA4C" w14:textId="77777777" w:rsidR="00D55908" w:rsidRPr="00546560" w:rsidRDefault="00D55908" w:rsidP="00D55908">
      <w:pPr>
        <w:pStyle w:val="ab"/>
        <w:spacing w:line="500" w:lineRule="exact"/>
        <w:ind w:firstLine="480"/>
        <w:rPr>
          <w:rFonts w:asciiTheme="minorEastAsia" w:eastAsiaTheme="minorEastAsia" w:hAnsiTheme="minorEastAsia"/>
          <w:color w:val="000000"/>
          <w:sz w:val="24"/>
        </w:rPr>
      </w:pPr>
      <w:proofErr w:type="gramStart"/>
      <w:r w:rsidRPr="00546560">
        <w:rPr>
          <w:rFonts w:asciiTheme="minorEastAsia" w:eastAsiaTheme="minorEastAsia" w:hAnsiTheme="minorEastAsia" w:hint="eastAsia"/>
          <w:color w:val="000000"/>
          <w:sz w:val="24"/>
        </w:rPr>
        <w:t>在行权期内</w:t>
      </w:r>
      <w:proofErr w:type="gramEnd"/>
      <w:r w:rsidRPr="00546560">
        <w:rPr>
          <w:rFonts w:asciiTheme="minorEastAsia" w:eastAsiaTheme="minorEastAsia" w:hAnsiTheme="minorEastAsia" w:hint="eastAsia"/>
          <w:color w:val="000000"/>
          <w:sz w:val="24"/>
        </w:rPr>
        <w:t>，若当期达到行权条件，激励对象可对相应比例的股票期权申请行权。未按期申请行权的部分</w:t>
      </w:r>
      <w:proofErr w:type="gramStart"/>
      <w:r w:rsidRPr="00546560">
        <w:rPr>
          <w:rFonts w:asciiTheme="minorEastAsia" w:eastAsiaTheme="minorEastAsia" w:hAnsiTheme="minorEastAsia" w:hint="eastAsia"/>
          <w:color w:val="000000"/>
          <w:sz w:val="24"/>
        </w:rPr>
        <w:t>不</w:t>
      </w:r>
      <w:proofErr w:type="gramEnd"/>
      <w:r w:rsidRPr="00546560">
        <w:rPr>
          <w:rFonts w:asciiTheme="minorEastAsia" w:eastAsiaTheme="minorEastAsia" w:hAnsiTheme="minorEastAsia" w:hint="eastAsia"/>
          <w:color w:val="000000"/>
          <w:sz w:val="24"/>
        </w:rPr>
        <w:t>再行权并由公司注销；</w:t>
      </w:r>
      <w:proofErr w:type="gramStart"/>
      <w:r w:rsidRPr="00546560">
        <w:rPr>
          <w:rFonts w:asciiTheme="minorEastAsia" w:eastAsiaTheme="minorEastAsia" w:hAnsiTheme="minorEastAsia" w:hint="eastAsia"/>
          <w:color w:val="000000"/>
          <w:sz w:val="24"/>
        </w:rPr>
        <w:t>若行权期内</w:t>
      </w:r>
      <w:proofErr w:type="gramEnd"/>
      <w:r w:rsidRPr="00546560">
        <w:rPr>
          <w:rFonts w:asciiTheme="minorEastAsia" w:eastAsiaTheme="minorEastAsia" w:hAnsiTheme="minorEastAsia" w:hint="eastAsia"/>
          <w:color w:val="000000"/>
          <w:sz w:val="24"/>
        </w:rPr>
        <w:t>任何一期未达到行权条件，则当期可行权的股票期权不得行权并由公司注销。</w:t>
      </w:r>
    </w:p>
    <w:p w14:paraId="439E2900" w14:textId="77777777" w:rsidR="00D55908" w:rsidRPr="00546560" w:rsidRDefault="00D55908" w:rsidP="00D55908">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（三）行权条件要求</w:t>
      </w:r>
    </w:p>
    <w:p w14:paraId="2597B45A" w14:textId="77777777" w:rsidR="00D55908" w:rsidRPr="00546560" w:rsidRDefault="00D55908" w:rsidP="00D55908">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1、公司层面的要求</w:t>
      </w:r>
    </w:p>
    <w:p w14:paraId="47EEA1E2" w14:textId="77777777" w:rsidR="00D55908" w:rsidRPr="00546560" w:rsidRDefault="00D55908" w:rsidP="00D55908">
      <w:pPr>
        <w:pStyle w:val="ab"/>
        <w:spacing w:line="50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本激励计划预留的股票期权分两期行权，行权考核年度为2022年、2023年。公司将对激励对象分年度进行绩效考核，每个会计年度考核一次，以达到业绩考核目标作为激励对象的行权条件之一。具体如下：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520"/>
      </w:tblGrid>
      <w:tr w:rsidR="00D55908" w:rsidRPr="00546560" w14:paraId="2D69D591" w14:textId="77777777" w:rsidTr="00D55908">
        <w:tc>
          <w:tcPr>
            <w:tcW w:w="2093" w:type="dxa"/>
            <w:shd w:val="clear" w:color="auto" w:fill="auto"/>
          </w:tcPr>
          <w:p w14:paraId="28C535FE" w14:textId="77777777" w:rsidR="00D55908" w:rsidRPr="00546560" w:rsidRDefault="00D55908" w:rsidP="00D55908">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行权期</w:t>
            </w:r>
          </w:p>
        </w:tc>
        <w:tc>
          <w:tcPr>
            <w:tcW w:w="6520" w:type="dxa"/>
            <w:shd w:val="clear" w:color="auto" w:fill="auto"/>
          </w:tcPr>
          <w:p w14:paraId="30B5116A" w14:textId="77777777" w:rsidR="00D55908" w:rsidRPr="00546560" w:rsidRDefault="00D55908" w:rsidP="00D55908">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指标</w:t>
            </w:r>
          </w:p>
        </w:tc>
      </w:tr>
      <w:tr w:rsidR="00D55908" w:rsidRPr="00546560" w14:paraId="11349CD0" w14:textId="77777777" w:rsidTr="00D55908">
        <w:tc>
          <w:tcPr>
            <w:tcW w:w="2093" w:type="dxa"/>
            <w:shd w:val="clear" w:color="auto" w:fill="auto"/>
          </w:tcPr>
          <w:p w14:paraId="5032EF25" w14:textId="77777777" w:rsidR="00D55908" w:rsidRPr="00546560" w:rsidRDefault="00D55908" w:rsidP="00D55908">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第一</w:t>
            </w:r>
            <w:r w:rsidRPr="00546560">
              <w:rPr>
                <w:rFonts w:asciiTheme="minorEastAsia" w:eastAsiaTheme="minorEastAsia" w:hAnsiTheme="minorEastAsia" w:hint="eastAsia"/>
                <w:sz w:val="24"/>
              </w:rPr>
              <w:t>个行权期</w:t>
            </w:r>
          </w:p>
        </w:tc>
        <w:tc>
          <w:tcPr>
            <w:tcW w:w="6520" w:type="dxa"/>
            <w:shd w:val="clear" w:color="auto" w:fill="auto"/>
          </w:tcPr>
          <w:p w14:paraId="4D0D459E" w14:textId="77777777" w:rsidR="00D55908" w:rsidRPr="00546560" w:rsidRDefault="00D55908" w:rsidP="00D55908">
            <w:pPr>
              <w:spacing w:line="500" w:lineRule="exact"/>
              <w:rPr>
                <w:rFonts w:asciiTheme="minorEastAsia" w:eastAsiaTheme="minorEastAsia" w:hAnsiTheme="minorEastAsia"/>
                <w:sz w:val="24"/>
              </w:rPr>
            </w:pPr>
            <w:r w:rsidRPr="00546560">
              <w:rPr>
                <w:rFonts w:asciiTheme="minorEastAsia" w:eastAsiaTheme="minorEastAsia" w:hAnsiTheme="minorEastAsia" w:hint="eastAsia"/>
                <w:sz w:val="24"/>
              </w:rPr>
              <w:t>2022年归属于上市公司股东的净利润不低于30,000万元</w:t>
            </w:r>
          </w:p>
        </w:tc>
      </w:tr>
      <w:tr w:rsidR="00D55908" w:rsidRPr="00546560" w14:paraId="6299F929" w14:textId="77777777" w:rsidTr="00D55908">
        <w:tc>
          <w:tcPr>
            <w:tcW w:w="2093" w:type="dxa"/>
            <w:shd w:val="clear" w:color="auto" w:fill="auto"/>
          </w:tcPr>
          <w:p w14:paraId="2A7085F2" w14:textId="77777777" w:rsidR="00D55908" w:rsidRPr="00546560" w:rsidRDefault="00D55908" w:rsidP="00D55908">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第二</w:t>
            </w:r>
            <w:r w:rsidRPr="00546560">
              <w:rPr>
                <w:rFonts w:asciiTheme="minorEastAsia" w:eastAsiaTheme="minorEastAsia" w:hAnsiTheme="minorEastAsia" w:hint="eastAsia"/>
                <w:sz w:val="24"/>
              </w:rPr>
              <w:t>个行权期</w:t>
            </w:r>
          </w:p>
        </w:tc>
        <w:tc>
          <w:tcPr>
            <w:tcW w:w="6520" w:type="dxa"/>
            <w:shd w:val="clear" w:color="auto" w:fill="auto"/>
          </w:tcPr>
          <w:p w14:paraId="39CF5919" w14:textId="77777777" w:rsidR="00D55908" w:rsidRPr="00546560" w:rsidRDefault="00D55908" w:rsidP="00D55908">
            <w:pPr>
              <w:spacing w:line="500" w:lineRule="exact"/>
              <w:rPr>
                <w:rFonts w:asciiTheme="minorEastAsia" w:eastAsiaTheme="minorEastAsia" w:hAnsiTheme="minorEastAsia"/>
                <w:sz w:val="24"/>
              </w:rPr>
            </w:pPr>
            <w:r w:rsidRPr="00546560">
              <w:rPr>
                <w:rFonts w:asciiTheme="minorEastAsia" w:eastAsiaTheme="minorEastAsia" w:hAnsiTheme="minorEastAsia" w:hint="eastAsia"/>
                <w:sz w:val="24"/>
              </w:rPr>
              <w:t>2023年归属于上市公司股东的净利润不低于40,000万元</w:t>
            </w:r>
          </w:p>
        </w:tc>
      </w:tr>
    </w:tbl>
    <w:p w14:paraId="47F87502" w14:textId="77777777" w:rsidR="00D55908" w:rsidRPr="00546560" w:rsidRDefault="00D55908" w:rsidP="00D55908">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2、个人层面绩效考核要求</w:t>
      </w:r>
    </w:p>
    <w:p w14:paraId="21ADA2C6" w14:textId="77777777" w:rsidR="00D55908" w:rsidRPr="00546560" w:rsidRDefault="00D55908" w:rsidP="00D55908">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激励对象个人考核按照公司内部考核制度分年进行考核，根据个人的绩效考评评价指标确定考评结果，具体如下：</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86"/>
      </w:tblGrid>
      <w:tr w:rsidR="00D55908" w:rsidRPr="00546560" w14:paraId="3EE9BC75" w14:textId="77777777" w:rsidTr="00D55908">
        <w:trPr>
          <w:jc w:val="center"/>
        </w:trPr>
        <w:tc>
          <w:tcPr>
            <w:tcW w:w="4253" w:type="dxa"/>
            <w:shd w:val="clear" w:color="auto" w:fill="auto"/>
          </w:tcPr>
          <w:p w14:paraId="1D4A3FA0" w14:textId="77777777" w:rsidR="00D55908" w:rsidRPr="00546560" w:rsidRDefault="00D55908" w:rsidP="00D55908">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绩效考核等级</w:t>
            </w:r>
          </w:p>
        </w:tc>
        <w:tc>
          <w:tcPr>
            <w:tcW w:w="4786" w:type="dxa"/>
            <w:shd w:val="clear" w:color="auto" w:fill="auto"/>
          </w:tcPr>
          <w:p w14:paraId="4477B1B8" w14:textId="77777777" w:rsidR="00D55908" w:rsidRPr="00546560" w:rsidRDefault="00D55908" w:rsidP="00D55908">
            <w:pPr>
              <w:spacing w:line="500" w:lineRule="exact"/>
              <w:jc w:val="center"/>
              <w:rPr>
                <w:rFonts w:asciiTheme="minorEastAsia" w:eastAsiaTheme="minorEastAsia" w:hAnsiTheme="minorEastAsia"/>
                <w:b/>
                <w:sz w:val="24"/>
              </w:rPr>
            </w:pPr>
            <w:r w:rsidRPr="00546560">
              <w:rPr>
                <w:rFonts w:asciiTheme="minorEastAsia" w:eastAsiaTheme="minorEastAsia" w:hAnsiTheme="minorEastAsia" w:hint="eastAsia"/>
                <w:b/>
                <w:sz w:val="24"/>
              </w:rPr>
              <w:t>可行权系数</w:t>
            </w:r>
          </w:p>
        </w:tc>
      </w:tr>
      <w:tr w:rsidR="00D55908" w:rsidRPr="00546560" w14:paraId="63132B85" w14:textId="77777777" w:rsidTr="00D55908">
        <w:trPr>
          <w:jc w:val="center"/>
        </w:trPr>
        <w:tc>
          <w:tcPr>
            <w:tcW w:w="4253" w:type="dxa"/>
            <w:shd w:val="clear" w:color="auto" w:fill="auto"/>
          </w:tcPr>
          <w:p w14:paraId="27EF9B76"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A</w:t>
            </w:r>
          </w:p>
        </w:tc>
        <w:tc>
          <w:tcPr>
            <w:tcW w:w="4786" w:type="dxa"/>
            <w:shd w:val="clear" w:color="auto" w:fill="auto"/>
          </w:tcPr>
          <w:p w14:paraId="2E2BD83B"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1.00</w:t>
            </w:r>
          </w:p>
        </w:tc>
      </w:tr>
      <w:tr w:rsidR="00D55908" w:rsidRPr="00546560" w14:paraId="6D6F201F" w14:textId="77777777" w:rsidTr="00D55908">
        <w:trPr>
          <w:jc w:val="center"/>
        </w:trPr>
        <w:tc>
          <w:tcPr>
            <w:tcW w:w="4253" w:type="dxa"/>
            <w:shd w:val="clear" w:color="auto" w:fill="auto"/>
          </w:tcPr>
          <w:p w14:paraId="71797038"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B</w:t>
            </w:r>
          </w:p>
        </w:tc>
        <w:tc>
          <w:tcPr>
            <w:tcW w:w="4786" w:type="dxa"/>
            <w:shd w:val="clear" w:color="auto" w:fill="auto"/>
          </w:tcPr>
          <w:p w14:paraId="5AD30B8E"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0.80</w:t>
            </w:r>
          </w:p>
        </w:tc>
      </w:tr>
      <w:tr w:rsidR="00D55908" w:rsidRPr="00546560" w14:paraId="135984AA" w14:textId="77777777" w:rsidTr="00D55908">
        <w:trPr>
          <w:jc w:val="center"/>
        </w:trPr>
        <w:tc>
          <w:tcPr>
            <w:tcW w:w="4253" w:type="dxa"/>
            <w:shd w:val="clear" w:color="auto" w:fill="auto"/>
          </w:tcPr>
          <w:p w14:paraId="5B3047C9"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C</w:t>
            </w:r>
          </w:p>
        </w:tc>
        <w:tc>
          <w:tcPr>
            <w:tcW w:w="4786" w:type="dxa"/>
            <w:shd w:val="clear" w:color="auto" w:fill="auto"/>
          </w:tcPr>
          <w:p w14:paraId="663ED40B"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0.50</w:t>
            </w:r>
          </w:p>
        </w:tc>
      </w:tr>
      <w:tr w:rsidR="00D55908" w:rsidRPr="00546560" w14:paraId="7B957102" w14:textId="77777777" w:rsidTr="00D55908">
        <w:trPr>
          <w:jc w:val="center"/>
        </w:trPr>
        <w:tc>
          <w:tcPr>
            <w:tcW w:w="4253" w:type="dxa"/>
            <w:shd w:val="clear" w:color="auto" w:fill="auto"/>
          </w:tcPr>
          <w:p w14:paraId="6C4318FD"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D(否决项)</w:t>
            </w:r>
          </w:p>
        </w:tc>
        <w:tc>
          <w:tcPr>
            <w:tcW w:w="4786" w:type="dxa"/>
            <w:shd w:val="clear" w:color="auto" w:fill="auto"/>
          </w:tcPr>
          <w:p w14:paraId="65229AB1" w14:textId="77777777" w:rsidR="00D55908" w:rsidRPr="00546560" w:rsidRDefault="00D55908" w:rsidP="00D55908">
            <w:pPr>
              <w:spacing w:line="500" w:lineRule="exact"/>
              <w:jc w:val="center"/>
              <w:rPr>
                <w:rFonts w:asciiTheme="minorEastAsia" w:eastAsiaTheme="minorEastAsia" w:hAnsiTheme="minorEastAsia"/>
                <w:sz w:val="24"/>
              </w:rPr>
            </w:pPr>
            <w:r w:rsidRPr="00546560">
              <w:rPr>
                <w:rFonts w:asciiTheme="minorEastAsia" w:eastAsiaTheme="minorEastAsia" w:hAnsiTheme="minorEastAsia" w:hint="eastAsia"/>
                <w:sz w:val="24"/>
              </w:rPr>
              <w:t>0.00</w:t>
            </w:r>
          </w:p>
        </w:tc>
      </w:tr>
    </w:tbl>
    <w:p w14:paraId="2F1D4B78" w14:textId="77777777" w:rsidR="00D55908" w:rsidRPr="00546560" w:rsidRDefault="00D55908" w:rsidP="00D55908">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hint="eastAsia"/>
          <w:sz w:val="24"/>
        </w:rPr>
        <w:t>注：激励对象当年实际行权比例＝可行权系数</w:t>
      </w:r>
      <w:r w:rsidRPr="00546560">
        <w:rPr>
          <w:rFonts w:asciiTheme="minorEastAsia" w:eastAsiaTheme="minorEastAsia" w:hAnsiTheme="minorEastAsia"/>
          <w:sz w:val="24"/>
        </w:rPr>
        <w:t>×</w:t>
      </w:r>
      <w:r w:rsidRPr="00546560">
        <w:rPr>
          <w:rFonts w:asciiTheme="minorEastAsia" w:eastAsiaTheme="minorEastAsia" w:hAnsiTheme="minorEastAsia" w:hint="eastAsia"/>
          <w:sz w:val="24"/>
        </w:rPr>
        <w:t>激励对象当年计划行权额度。</w:t>
      </w:r>
    </w:p>
    <w:p w14:paraId="11E50A3F" w14:textId="77777777" w:rsidR="00D55908" w:rsidRPr="00546560" w:rsidRDefault="00D55908" w:rsidP="00D55908">
      <w:pPr>
        <w:pStyle w:val="ab"/>
        <w:spacing w:line="500" w:lineRule="exact"/>
        <w:ind w:firstLine="480"/>
        <w:rPr>
          <w:rFonts w:asciiTheme="minorEastAsia" w:eastAsiaTheme="minorEastAsia" w:hAnsiTheme="minorEastAsia"/>
          <w:sz w:val="24"/>
        </w:rPr>
      </w:pPr>
      <w:r w:rsidRPr="00546560">
        <w:rPr>
          <w:rFonts w:asciiTheme="minorEastAsia" w:eastAsiaTheme="minorEastAsia" w:hAnsiTheme="minorEastAsia"/>
          <w:sz w:val="24"/>
        </w:rPr>
        <w:t>否决项：如果在考核期间出现违法违纪、重大安全事故、环保事故以及其 它严重损害公司声誉、市场形象的事项，主要责任人当年的考核结果等级为 不合格。</w:t>
      </w:r>
    </w:p>
    <w:p w14:paraId="7FE1E313" w14:textId="77777777" w:rsidR="00D55908" w:rsidRPr="00496EDE" w:rsidRDefault="00D55908" w:rsidP="00D55908">
      <w:pPr>
        <w:pStyle w:val="ab"/>
        <w:spacing w:line="500" w:lineRule="exact"/>
        <w:ind w:firstLine="480"/>
        <w:rPr>
          <w:rFonts w:asciiTheme="minorEastAsia" w:eastAsiaTheme="minorEastAsia" w:hAnsiTheme="minorEastAsia"/>
          <w:sz w:val="24"/>
        </w:rPr>
      </w:pPr>
      <w:r w:rsidRPr="00496EDE">
        <w:rPr>
          <w:rFonts w:asciiTheme="minorEastAsia" w:eastAsiaTheme="minorEastAsia" w:hAnsiTheme="minorEastAsia" w:hint="eastAsia"/>
          <w:sz w:val="24"/>
        </w:rPr>
        <w:t>（四）激励对象名单及授予情况</w:t>
      </w:r>
    </w:p>
    <w:p w14:paraId="17D15401" w14:textId="77777777" w:rsidR="00D55908" w:rsidRPr="00196164" w:rsidRDefault="00D55908" w:rsidP="00D55908">
      <w:pPr>
        <w:pStyle w:val="ab"/>
        <w:spacing w:line="500" w:lineRule="exact"/>
        <w:ind w:firstLine="480"/>
        <w:rPr>
          <w:rFonts w:ascii="宋体" w:hAnsi="宋体"/>
          <w:color w:val="000000"/>
          <w:sz w:val="24"/>
        </w:rPr>
      </w:pPr>
      <w:r w:rsidRPr="00196164">
        <w:rPr>
          <w:rFonts w:ascii="宋体" w:hAnsi="宋体" w:hint="eastAsia"/>
          <w:color w:val="000000"/>
          <w:sz w:val="24"/>
        </w:rPr>
        <w:t>本激励计划预留部分授予分配情况如下表所示：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2"/>
        <w:gridCol w:w="804"/>
        <w:gridCol w:w="1706"/>
        <w:gridCol w:w="1708"/>
        <w:gridCol w:w="1708"/>
        <w:gridCol w:w="1704"/>
      </w:tblGrid>
      <w:tr w:rsidR="00D55908" w:rsidRPr="00196164" w14:paraId="0097F4C8" w14:textId="77777777" w:rsidTr="00D55908">
        <w:trPr>
          <w:trHeight w:val="1278"/>
        </w:trPr>
        <w:tc>
          <w:tcPr>
            <w:tcW w:w="523" w:type="pct"/>
            <w:shd w:val="clear" w:color="auto" w:fill="auto"/>
            <w:vAlign w:val="center"/>
            <w:hideMark/>
          </w:tcPr>
          <w:p w14:paraId="549066D4"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姓名</w:t>
            </w:r>
          </w:p>
        </w:tc>
        <w:tc>
          <w:tcPr>
            <w:tcW w:w="472" w:type="pct"/>
            <w:shd w:val="clear" w:color="auto" w:fill="auto"/>
            <w:vAlign w:val="center"/>
            <w:hideMark/>
          </w:tcPr>
          <w:p w14:paraId="42C5C342"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职务</w:t>
            </w:r>
          </w:p>
        </w:tc>
        <w:tc>
          <w:tcPr>
            <w:tcW w:w="1001" w:type="pct"/>
            <w:shd w:val="clear" w:color="auto" w:fill="auto"/>
            <w:vAlign w:val="center"/>
            <w:hideMark/>
          </w:tcPr>
          <w:p w14:paraId="37E09890"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获授预留的股票期权数量（万股）</w:t>
            </w:r>
          </w:p>
        </w:tc>
        <w:tc>
          <w:tcPr>
            <w:tcW w:w="1002" w:type="pct"/>
            <w:vAlign w:val="center"/>
          </w:tcPr>
          <w:p w14:paraId="3E49A122"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占本次授予预留股票期权总数的比例</w:t>
            </w:r>
          </w:p>
        </w:tc>
        <w:tc>
          <w:tcPr>
            <w:tcW w:w="1002" w:type="pct"/>
            <w:shd w:val="clear" w:color="auto" w:fill="auto"/>
            <w:vAlign w:val="center"/>
            <w:hideMark/>
          </w:tcPr>
          <w:p w14:paraId="29B76082"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占本次股票期权总数的比例</w:t>
            </w:r>
          </w:p>
        </w:tc>
        <w:tc>
          <w:tcPr>
            <w:tcW w:w="1002" w:type="pct"/>
            <w:shd w:val="clear" w:color="auto" w:fill="auto"/>
            <w:vAlign w:val="center"/>
            <w:hideMark/>
          </w:tcPr>
          <w:p w14:paraId="7AFE15D1" w14:textId="77777777" w:rsidR="00D55908" w:rsidRPr="00196164" w:rsidRDefault="00D55908" w:rsidP="00D55908">
            <w:pPr>
              <w:widowControl/>
              <w:jc w:val="center"/>
              <w:rPr>
                <w:rFonts w:ascii="宋体" w:hAnsi="宋体" w:cs="宋体"/>
                <w:b/>
                <w:bCs/>
                <w:color w:val="000000"/>
                <w:kern w:val="0"/>
                <w:sz w:val="24"/>
              </w:rPr>
            </w:pPr>
            <w:r w:rsidRPr="00196164">
              <w:rPr>
                <w:rFonts w:ascii="宋体" w:hAnsi="宋体" w:cs="宋体" w:hint="eastAsia"/>
                <w:b/>
                <w:bCs/>
                <w:color w:val="000000"/>
                <w:kern w:val="0"/>
                <w:sz w:val="24"/>
              </w:rPr>
              <w:t>占</w:t>
            </w:r>
            <w:r>
              <w:rPr>
                <w:rFonts w:ascii="宋体" w:hAnsi="宋体" w:cs="宋体" w:hint="eastAsia"/>
                <w:b/>
                <w:bCs/>
                <w:color w:val="000000"/>
                <w:kern w:val="0"/>
                <w:sz w:val="24"/>
              </w:rPr>
              <w:t>目前</w:t>
            </w:r>
            <w:r w:rsidRPr="00196164">
              <w:rPr>
                <w:rFonts w:ascii="宋体" w:hAnsi="宋体" w:cs="宋体" w:hint="eastAsia"/>
                <w:b/>
                <w:bCs/>
                <w:color w:val="000000"/>
                <w:kern w:val="0"/>
                <w:sz w:val="24"/>
              </w:rPr>
              <w:t>公司总股本的比例</w:t>
            </w:r>
          </w:p>
        </w:tc>
      </w:tr>
      <w:tr w:rsidR="00D55908" w:rsidRPr="00196164" w14:paraId="234C32F8" w14:textId="77777777" w:rsidTr="00D55908">
        <w:trPr>
          <w:trHeight w:val="525"/>
        </w:trPr>
        <w:tc>
          <w:tcPr>
            <w:tcW w:w="994" w:type="pct"/>
            <w:gridSpan w:val="2"/>
            <w:shd w:val="clear" w:color="auto" w:fill="auto"/>
            <w:vAlign w:val="center"/>
            <w:hideMark/>
          </w:tcPr>
          <w:p w14:paraId="609647E3" w14:textId="77777777" w:rsidR="00D55908" w:rsidRPr="00196164" w:rsidRDefault="00D55908" w:rsidP="00D55908">
            <w:pPr>
              <w:widowControl/>
              <w:jc w:val="left"/>
              <w:rPr>
                <w:rFonts w:ascii="宋体" w:hAnsi="宋体" w:cs="宋体"/>
                <w:color w:val="000000"/>
                <w:kern w:val="0"/>
                <w:sz w:val="24"/>
              </w:rPr>
            </w:pPr>
            <w:r w:rsidRPr="00196164">
              <w:rPr>
                <w:rFonts w:ascii="宋体" w:hAnsi="宋体"/>
                <w:color w:val="000000"/>
                <w:sz w:val="24"/>
              </w:rPr>
              <w:t>核心技术（业务）骨干人员</w:t>
            </w:r>
          </w:p>
        </w:tc>
        <w:tc>
          <w:tcPr>
            <w:tcW w:w="1001" w:type="pct"/>
            <w:shd w:val="clear" w:color="auto" w:fill="auto"/>
            <w:vAlign w:val="center"/>
          </w:tcPr>
          <w:p w14:paraId="0050C841" w14:textId="77777777" w:rsidR="00D55908" w:rsidRPr="009B5C49" w:rsidRDefault="00D55908" w:rsidP="00D55908">
            <w:pPr>
              <w:widowControl/>
              <w:spacing w:line="500" w:lineRule="exact"/>
              <w:jc w:val="right"/>
              <w:rPr>
                <w:rFonts w:ascii="宋体" w:hAnsi="宋体"/>
                <w:color w:val="000000"/>
                <w:kern w:val="0"/>
                <w:sz w:val="24"/>
              </w:rPr>
            </w:pPr>
            <w:r w:rsidRPr="009B5C49">
              <w:rPr>
                <w:rFonts w:ascii="宋体" w:hAnsi="宋体" w:hint="eastAsia"/>
                <w:color w:val="000000"/>
                <w:kern w:val="0"/>
                <w:sz w:val="24"/>
              </w:rPr>
              <w:t xml:space="preserve">    500</w:t>
            </w:r>
          </w:p>
        </w:tc>
        <w:tc>
          <w:tcPr>
            <w:tcW w:w="1002" w:type="pct"/>
            <w:vAlign w:val="center"/>
          </w:tcPr>
          <w:p w14:paraId="361F1D10" w14:textId="77777777" w:rsidR="00D55908" w:rsidRPr="00196164" w:rsidRDefault="00D55908" w:rsidP="00D55908">
            <w:pPr>
              <w:widowControl/>
              <w:spacing w:line="500" w:lineRule="exact"/>
              <w:jc w:val="right"/>
              <w:rPr>
                <w:rFonts w:ascii="宋体" w:hAnsi="宋体"/>
                <w:color w:val="000000"/>
                <w:kern w:val="0"/>
                <w:sz w:val="24"/>
              </w:rPr>
            </w:pPr>
            <w:r>
              <w:rPr>
                <w:rFonts w:ascii="宋体" w:hAnsi="宋体" w:hint="eastAsia"/>
                <w:color w:val="000000"/>
                <w:kern w:val="0"/>
                <w:sz w:val="24"/>
              </w:rPr>
              <w:t>100.00%</w:t>
            </w:r>
          </w:p>
        </w:tc>
        <w:tc>
          <w:tcPr>
            <w:tcW w:w="1002" w:type="pct"/>
            <w:shd w:val="clear" w:color="auto" w:fill="auto"/>
            <w:vAlign w:val="center"/>
          </w:tcPr>
          <w:p w14:paraId="62AAB22C" w14:textId="77777777" w:rsidR="00D55908" w:rsidRPr="00196164" w:rsidRDefault="00D55908" w:rsidP="00D55908">
            <w:pPr>
              <w:widowControl/>
              <w:spacing w:line="500" w:lineRule="exact"/>
              <w:jc w:val="right"/>
              <w:rPr>
                <w:rFonts w:ascii="宋体" w:hAnsi="宋体"/>
                <w:color w:val="000000"/>
                <w:kern w:val="0"/>
                <w:sz w:val="24"/>
              </w:rPr>
            </w:pPr>
            <w:r w:rsidRPr="00196164">
              <w:rPr>
                <w:rFonts w:ascii="宋体" w:hAnsi="宋体" w:hint="eastAsia"/>
                <w:color w:val="000000"/>
                <w:kern w:val="0"/>
                <w:sz w:val="24"/>
              </w:rPr>
              <w:t>10.00%</w:t>
            </w:r>
          </w:p>
        </w:tc>
        <w:tc>
          <w:tcPr>
            <w:tcW w:w="1002" w:type="pct"/>
            <w:shd w:val="clear" w:color="auto" w:fill="auto"/>
            <w:vAlign w:val="center"/>
          </w:tcPr>
          <w:p w14:paraId="49823586" w14:textId="77777777" w:rsidR="00D55908" w:rsidRPr="00196164" w:rsidRDefault="00D55908" w:rsidP="00D55908">
            <w:pPr>
              <w:widowControl/>
              <w:spacing w:line="500" w:lineRule="exact"/>
              <w:jc w:val="right"/>
              <w:rPr>
                <w:rFonts w:ascii="宋体" w:hAnsi="宋体"/>
                <w:color w:val="000000"/>
                <w:kern w:val="0"/>
                <w:sz w:val="24"/>
              </w:rPr>
            </w:pPr>
            <w:r w:rsidRPr="00196164">
              <w:rPr>
                <w:rFonts w:ascii="宋体" w:hAnsi="宋体" w:hint="eastAsia"/>
                <w:color w:val="000000"/>
                <w:kern w:val="0"/>
                <w:sz w:val="24"/>
              </w:rPr>
              <w:t>0.28%</w:t>
            </w:r>
          </w:p>
        </w:tc>
      </w:tr>
      <w:tr w:rsidR="00D55908" w:rsidRPr="00546560" w14:paraId="4EB34357" w14:textId="77777777" w:rsidTr="00D55908">
        <w:trPr>
          <w:trHeight w:val="315"/>
        </w:trPr>
        <w:tc>
          <w:tcPr>
            <w:tcW w:w="994" w:type="pct"/>
            <w:gridSpan w:val="2"/>
            <w:shd w:val="clear" w:color="auto" w:fill="auto"/>
            <w:vAlign w:val="center"/>
            <w:hideMark/>
          </w:tcPr>
          <w:p w14:paraId="3D4C0D0A" w14:textId="77777777" w:rsidR="00D55908" w:rsidRPr="00196164" w:rsidRDefault="00D55908" w:rsidP="00D55908">
            <w:pPr>
              <w:widowControl/>
              <w:spacing w:line="500" w:lineRule="exact"/>
              <w:jc w:val="left"/>
              <w:rPr>
                <w:rFonts w:ascii="宋体" w:hAnsi="宋体" w:cs="宋体"/>
                <w:b/>
                <w:color w:val="000000"/>
                <w:kern w:val="0"/>
                <w:sz w:val="24"/>
              </w:rPr>
            </w:pPr>
            <w:r w:rsidRPr="00196164">
              <w:rPr>
                <w:rFonts w:ascii="宋体" w:hAnsi="宋体" w:cs="宋体" w:hint="eastAsia"/>
                <w:b/>
                <w:color w:val="000000"/>
                <w:kern w:val="0"/>
                <w:sz w:val="24"/>
              </w:rPr>
              <w:t>合计</w:t>
            </w:r>
          </w:p>
        </w:tc>
        <w:tc>
          <w:tcPr>
            <w:tcW w:w="1001" w:type="pct"/>
            <w:shd w:val="clear" w:color="auto" w:fill="auto"/>
            <w:vAlign w:val="center"/>
          </w:tcPr>
          <w:p w14:paraId="299D1446" w14:textId="77777777" w:rsidR="00D55908" w:rsidRPr="00196164" w:rsidRDefault="00D55908" w:rsidP="00D55908">
            <w:pPr>
              <w:widowControl/>
              <w:spacing w:line="500" w:lineRule="exact"/>
              <w:jc w:val="right"/>
              <w:rPr>
                <w:rFonts w:ascii="宋体" w:hAnsi="宋体"/>
                <w:b/>
                <w:color w:val="000000"/>
                <w:kern w:val="0"/>
                <w:sz w:val="24"/>
              </w:rPr>
            </w:pPr>
            <w:r w:rsidRPr="00196164">
              <w:rPr>
                <w:rFonts w:ascii="宋体" w:hAnsi="宋体" w:hint="eastAsia"/>
                <w:b/>
                <w:color w:val="000000"/>
                <w:kern w:val="0"/>
                <w:sz w:val="24"/>
              </w:rPr>
              <w:t>500</w:t>
            </w:r>
          </w:p>
        </w:tc>
        <w:tc>
          <w:tcPr>
            <w:tcW w:w="1002" w:type="pct"/>
            <w:vAlign w:val="center"/>
          </w:tcPr>
          <w:p w14:paraId="0A1F7A87" w14:textId="77777777" w:rsidR="00D55908" w:rsidRPr="00196164" w:rsidRDefault="00D55908" w:rsidP="00D55908">
            <w:pPr>
              <w:widowControl/>
              <w:spacing w:line="500" w:lineRule="exact"/>
              <w:jc w:val="right"/>
              <w:rPr>
                <w:rFonts w:ascii="宋体" w:hAnsi="宋体"/>
                <w:b/>
                <w:color w:val="000000"/>
                <w:kern w:val="0"/>
                <w:sz w:val="24"/>
              </w:rPr>
            </w:pPr>
            <w:r>
              <w:rPr>
                <w:rFonts w:ascii="宋体" w:hAnsi="宋体" w:hint="eastAsia"/>
                <w:b/>
                <w:color w:val="000000"/>
                <w:kern w:val="0"/>
                <w:sz w:val="24"/>
              </w:rPr>
              <w:t>100%</w:t>
            </w:r>
          </w:p>
        </w:tc>
        <w:tc>
          <w:tcPr>
            <w:tcW w:w="1002" w:type="pct"/>
            <w:shd w:val="clear" w:color="auto" w:fill="auto"/>
            <w:vAlign w:val="center"/>
          </w:tcPr>
          <w:p w14:paraId="74AC5040" w14:textId="77777777" w:rsidR="00D55908" w:rsidRPr="00196164" w:rsidRDefault="00D55908" w:rsidP="00D55908">
            <w:pPr>
              <w:widowControl/>
              <w:spacing w:line="500" w:lineRule="exact"/>
              <w:jc w:val="right"/>
              <w:rPr>
                <w:rFonts w:ascii="宋体" w:hAnsi="宋体"/>
                <w:b/>
                <w:color w:val="000000"/>
                <w:kern w:val="0"/>
                <w:sz w:val="24"/>
              </w:rPr>
            </w:pPr>
            <w:r>
              <w:rPr>
                <w:rFonts w:ascii="宋体" w:hAnsi="宋体" w:hint="eastAsia"/>
                <w:b/>
                <w:color w:val="000000"/>
                <w:kern w:val="0"/>
                <w:sz w:val="24"/>
              </w:rPr>
              <w:t>1</w:t>
            </w:r>
            <w:r w:rsidRPr="00196164">
              <w:rPr>
                <w:rFonts w:ascii="宋体" w:hAnsi="宋体" w:hint="eastAsia"/>
                <w:b/>
                <w:color w:val="000000"/>
                <w:kern w:val="0"/>
                <w:sz w:val="24"/>
              </w:rPr>
              <w:t>0%</w:t>
            </w:r>
          </w:p>
        </w:tc>
        <w:tc>
          <w:tcPr>
            <w:tcW w:w="1002" w:type="pct"/>
            <w:shd w:val="clear" w:color="auto" w:fill="auto"/>
            <w:vAlign w:val="center"/>
          </w:tcPr>
          <w:p w14:paraId="118FA4D5" w14:textId="77777777" w:rsidR="00D55908" w:rsidRPr="00196164" w:rsidRDefault="00D55908" w:rsidP="00D55908">
            <w:pPr>
              <w:widowControl/>
              <w:spacing w:line="500" w:lineRule="exact"/>
              <w:jc w:val="right"/>
              <w:rPr>
                <w:rFonts w:ascii="宋体" w:hAnsi="宋体"/>
                <w:b/>
                <w:color w:val="000000"/>
                <w:kern w:val="0"/>
                <w:sz w:val="24"/>
              </w:rPr>
            </w:pPr>
            <w:r w:rsidRPr="00196164">
              <w:rPr>
                <w:rFonts w:ascii="宋体" w:hAnsi="宋体" w:hint="eastAsia"/>
                <w:b/>
                <w:color w:val="000000"/>
                <w:kern w:val="0"/>
                <w:sz w:val="24"/>
              </w:rPr>
              <w:t>0.28%</w:t>
            </w:r>
          </w:p>
        </w:tc>
      </w:tr>
    </w:tbl>
    <w:p w14:paraId="4E2B30C7"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注：1、本计划激励对象未参与两个或两个以上上市公司股权激励计划，</w:t>
      </w:r>
      <w:r w:rsidRPr="00546560">
        <w:rPr>
          <w:rFonts w:asciiTheme="minorEastAsia" w:eastAsiaTheme="minorEastAsia" w:hAnsiTheme="minorEastAsia"/>
          <w:color w:val="000000"/>
          <w:sz w:val="24"/>
        </w:rPr>
        <w:t>激励对象中不包括公司现任监事、独立董事</w:t>
      </w:r>
      <w:r w:rsidRPr="00546560">
        <w:rPr>
          <w:rFonts w:asciiTheme="minorEastAsia" w:eastAsiaTheme="minorEastAsia" w:hAnsiTheme="minorEastAsia" w:hint="eastAsia"/>
          <w:color w:val="000000"/>
          <w:sz w:val="24"/>
        </w:rPr>
        <w:t>、持股5%以上的主要股东或实际控制人及其配偶、父母、子女。</w:t>
      </w:r>
    </w:p>
    <w:p w14:paraId="69FB29C4" w14:textId="77777777" w:rsidR="00D55908" w:rsidRPr="00546560" w:rsidRDefault="00D55908" w:rsidP="00D55908">
      <w:pPr>
        <w:pStyle w:val="ab"/>
        <w:spacing w:line="480" w:lineRule="exact"/>
        <w:ind w:firstLine="480"/>
        <w:rPr>
          <w:rFonts w:asciiTheme="minorEastAsia" w:eastAsiaTheme="minorEastAsia" w:hAnsiTheme="minorEastAsia"/>
          <w:color w:val="000000"/>
          <w:sz w:val="24"/>
        </w:rPr>
      </w:pPr>
      <w:r w:rsidRPr="00546560">
        <w:rPr>
          <w:rFonts w:asciiTheme="minorEastAsia" w:eastAsiaTheme="minorEastAsia" w:hAnsiTheme="minorEastAsia" w:hint="eastAsia"/>
          <w:color w:val="000000"/>
          <w:sz w:val="24"/>
        </w:rPr>
        <w:t>2、上述任何一名激励对象通过本计划获授的公司股票均未超过公司总股本的1%。本次激励计划拟授予的股票期权总数不超过本计划公告时公司股本总额的10%。</w:t>
      </w:r>
    </w:p>
    <w:p w14:paraId="1883D6AC" w14:textId="2A4111C4" w:rsidR="000C441D" w:rsidRDefault="001F6E9D" w:rsidP="00220F07">
      <w:pPr>
        <w:pStyle w:val="ab"/>
        <w:spacing w:beforeLines="50" w:before="156" w:afterLines="50" w:after="156" w:line="500" w:lineRule="exact"/>
        <w:ind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w:t>
      </w:r>
      <w:r w:rsidR="000C441D" w:rsidRPr="00546560">
        <w:rPr>
          <w:rFonts w:asciiTheme="minorEastAsia" w:eastAsiaTheme="minorEastAsia" w:hAnsiTheme="minorEastAsia" w:hint="eastAsia"/>
          <w:b/>
          <w:color w:val="000000"/>
          <w:sz w:val="24"/>
        </w:rPr>
        <w:t>、</w:t>
      </w:r>
      <w:r w:rsidR="00D55908">
        <w:rPr>
          <w:rFonts w:asciiTheme="minorEastAsia" w:eastAsiaTheme="minorEastAsia" w:hAnsiTheme="minorEastAsia" w:hint="eastAsia"/>
          <w:b/>
          <w:color w:val="000000"/>
          <w:sz w:val="24"/>
        </w:rPr>
        <w:t>关于本次授予的激励对象、股票期权数量与</w:t>
      </w:r>
      <w:r w:rsidRPr="001F6E9D">
        <w:rPr>
          <w:rFonts w:asciiTheme="minorEastAsia" w:eastAsiaTheme="minorEastAsia" w:hAnsiTheme="minorEastAsia" w:hint="eastAsia"/>
          <w:b/>
          <w:color w:val="000000"/>
          <w:sz w:val="24"/>
        </w:rPr>
        <w:t>公示情况是否存在差异的说明</w:t>
      </w:r>
    </w:p>
    <w:p w14:paraId="616E20E3" w14:textId="79CC43EA" w:rsidR="001F6E9D" w:rsidRDefault="001F6E9D" w:rsidP="002660C5">
      <w:pPr>
        <w:pStyle w:val="ab"/>
        <w:spacing w:line="500" w:lineRule="exact"/>
        <w:ind w:firstLine="480"/>
        <w:rPr>
          <w:rFonts w:asciiTheme="minorEastAsia" w:eastAsiaTheme="minorEastAsia" w:hAnsiTheme="minorEastAsia"/>
          <w:sz w:val="24"/>
        </w:rPr>
      </w:pPr>
      <w:r w:rsidRPr="002660C5">
        <w:rPr>
          <w:rFonts w:asciiTheme="minorEastAsia" w:eastAsiaTheme="minorEastAsia" w:hAnsiTheme="minorEastAsia" w:hint="eastAsia"/>
          <w:sz w:val="24"/>
        </w:rPr>
        <w:t>本次激励计划</w:t>
      </w:r>
      <w:r w:rsidR="00D55908">
        <w:rPr>
          <w:rFonts w:asciiTheme="minorEastAsia" w:eastAsiaTheme="minorEastAsia" w:hAnsiTheme="minorEastAsia" w:hint="eastAsia"/>
          <w:sz w:val="24"/>
        </w:rPr>
        <w:t>预留股票期权</w:t>
      </w:r>
      <w:r w:rsidRPr="002660C5">
        <w:rPr>
          <w:rFonts w:asciiTheme="minorEastAsia" w:eastAsiaTheme="minorEastAsia" w:hAnsiTheme="minorEastAsia" w:hint="eastAsia"/>
          <w:sz w:val="24"/>
        </w:rPr>
        <w:t>授予登记情况与公司第七届董事会2021年第一</w:t>
      </w:r>
      <w:r w:rsidR="00D55908">
        <w:rPr>
          <w:rFonts w:asciiTheme="minorEastAsia" w:eastAsiaTheme="minorEastAsia" w:hAnsiTheme="minorEastAsia" w:hint="eastAsia"/>
          <w:sz w:val="24"/>
        </w:rPr>
        <w:t>次临时会议、第八届董事会2021年第一次临时会议</w:t>
      </w:r>
      <w:r w:rsidRPr="002660C5">
        <w:rPr>
          <w:rFonts w:asciiTheme="minorEastAsia" w:eastAsiaTheme="minorEastAsia" w:hAnsiTheme="minorEastAsia" w:hint="eastAsia"/>
          <w:sz w:val="24"/>
        </w:rPr>
        <w:t>及2021</w:t>
      </w:r>
      <w:r w:rsidR="00B67949">
        <w:rPr>
          <w:rFonts w:asciiTheme="minorEastAsia" w:eastAsiaTheme="minorEastAsia" w:hAnsiTheme="minorEastAsia" w:hint="eastAsia"/>
          <w:sz w:val="24"/>
        </w:rPr>
        <w:t>年第一</w:t>
      </w:r>
      <w:r w:rsidRPr="002660C5">
        <w:rPr>
          <w:rFonts w:asciiTheme="minorEastAsia" w:eastAsiaTheme="minorEastAsia" w:hAnsiTheme="minorEastAsia" w:hint="eastAsia"/>
          <w:sz w:val="24"/>
        </w:rPr>
        <w:t>次临时股东大会审议通过的事项一致。</w:t>
      </w:r>
    </w:p>
    <w:p w14:paraId="4429ECB5" w14:textId="68734177" w:rsidR="008940A4" w:rsidRPr="008940A4" w:rsidRDefault="008940A4" w:rsidP="008940A4">
      <w:pPr>
        <w:pStyle w:val="ab"/>
        <w:spacing w:beforeLines="50" w:before="156" w:afterLines="50" w:after="156" w:line="500" w:lineRule="exact"/>
        <w:ind w:firstLine="482"/>
        <w:rPr>
          <w:rFonts w:asciiTheme="minorEastAsia" w:eastAsiaTheme="minorEastAsia" w:hAnsiTheme="minorEastAsia"/>
          <w:b/>
          <w:color w:val="000000"/>
          <w:sz w:val="24"/>
        </w:rPr>
      </w:pPr>
      <w:r w:rsidRPr="008940A4">
        <w:rPr>
          <w:rFonts w:asciiTheme="minorEastAsia" w:eastAsiaTheme="minorEastAsia" w:hAnsiTheme="minorEastAsia" w:hint="eastAsia"/>
          <w:b/>
          <w:color w:val="000000"/>
          <w:sz w:val="24"/>
        </w:rPr>
        <w:t>四、预留股票期权的授予对公司财务状况的影响</w:t>
      </w:r>
    </w:p>
    <w:p w14:paraId="28A35669" w14:textId="76D5186E" w:rsidR="008940A4" w:rsidRPr="008940A4" w:rsidRDefault="008940A4" w:rsidP="008940A4">
      <w:pPr>
        <w:pStyle w:val="ab"/>
        <w:spacing w:line="500" w:lineRule="exact"/>
        <w:ind w:firstLine="480"/>
        <w:rPr>
          <w:rFonts w:asciiTheme="minorEastAsia" w:eastAsiaTheme="minorEastAsia" w:hAnsiTheme="minorEastAsia"/>
          <w:sz w:val="24"/>
        </w:rPr>
      </w:pPr>
      <w:r w:rsidRPr="008940A4">
        <w:rPr>
          <w:rFonts w:asciiTheme="minorEastAsia" w:eastAsiaTheme="minorEastAsia" w:hAnsiTheme="minorEastAsia" w:hint="eastAsia"/>
          <w:sz w:val="24"/>
        </w:rPr>
        <w:t>根据《企业会计准则第</w:t>
      </w:r>
      <w:r w:rsidRPr="008940A4">
        <w:rPr>
          <w:rFonts w:asciiTheme="minorEastAsia" w:eastAsiaTheme="minorEastAsia" w:hAnsiTheme="minorEastAsia"/>
          <w:sz w:val="24"/>
        </w:rPr>
        <w:t>11</w:t>
      </w:r>
      <w:r w:rsidRPr="008940A4">
        <w:rPr>
          <w:rFonts w:asciiTheme="minorEastAsia" w:eastAsiaTheme="minorEastAsia" w:hAnsiTheme="minorEastAsia" w:hint="eastAsia"/>
          <w:sz w:val="24"/>
        </w:rPr>
        <w:t>号</w:t>
      </w:r>
      <w:r w:rsidRPr="008940A4">
        <w:rPr>
          <w:rFonts w:asciiTheme="minorEastAsia" w:eastAsiaTheme="minorEastAsia" w:hAnsiTheme="minorEastAsia"/>
          <w:sz w:val="24"/>
        </w:rPr>
        <w:t>——</w:t>
      </w:r>
      <w:r w:rsidRPr="008940A4">
        <w:rPr>
          <w:rFonts w:asciiTheme="minorEastAsia" w:eastAsiaTheme="minorEastAsia" w:hAnsiTheme="minorEastAsia" w:hint="eastAsia"/>
          <w:sz w:val="24"/>
        </w:rPr>
        <w:t>股份支付》和《企业会计准则第</w:t>
      </w:r>
      <w:r w:rsidRPr="008940A4">
        <w:rPr>
          <w:rFonts w:asciiTheme="minorEastAsia" w:eastAsiaTheme="minorEastAsia" w:hAnsiTheme="minorEastAsia"/>
          <w:sz w:val="24"/>
        </w:rPr>
        <w:t>22</w:t>
      </w:r>
      <w:r w:rsidRPr="008940A4">
        <w:rPr>
          <w:rFonts w:asciiTheme="minorEastAsia" w:eastAsiaTheme="minorEastAsia" w:hAnsiTheme="minorEastAsia" w:hint="eastAsia"/>
          <w:sz w:val="24"/>
        </w:rPr>
        <w:t>号</w:t>
      </w:r>
      <w:r w:rsidRPr="008940A4">
        <w:rPr>
          <w:rFonts w:asciiTheme="minorEastAsia" w:eastAsiaTheme="minorEastAsia" w:hAnsiTheme="minorEastAsia"/>
          <w:sz w:val="24"/>
        </w:rPr>
        <w:t>——</w:t>
      </w:r>
      <w:r w:rsidRPr="008940A4">
        <w:rPr>
          <w:rFonts w:asciiTheme="minorEastAsia" w:eastAsiaTheme="minorEastAsia" w:hAnsiTheme="minorEastAsia" w:hint="eastAsia"/>
          <w:sz w:val="24"/>
        </w:rPr>
        <w:t>金融工具确认和计量》中关于公允价值确定的相关规定，公司根据授予日股票期权的公允价值确认股票期权的激励成本。本次股权激励费用将在经常性损益中列支，会对公司的业绩造成一定影响，但不会直接减少公司净资产，也不会直接影响公司的现金流量。激励对象达到行权条件购买公司股票会增加公司的股本。股权激励费用的摊销对公司</w:t>
      </w:r>
      <w:r>
        <w:rPr>
          <w:rFonts w:asciiTheme="minorEastAsia" w:eastAsiaTheme="minorEastAsia" w:hAnsiTheme="minorEastAsia"/>
          <w:sz w:val="24"/>
        </w:rPr>
        <w:t>202</w:t>
      </w:r>
      <w:r>
        <w:rPr>
          <w:rFonts w:asciiTheme="minorEastAsia" w:eastAsiaTheme="minorEastAsia" w:hAnsiTheme="minorEastAsia" w:hint="eastAsia"/>
          <w:sz w:val="24"/>
        </w:rPr>
        <w:t>2</w:t>
      </w:r>
      <w:r w:rsidRPr="008940A4">
        <w:rPr>
          <w:rFonts w:asciiTheme="minorEastAsia" w:eastAsiaTheme="minorEastAsia" w:hAnsiTheme="minorEastAsia" w:hint="eastAsia"/>
          <w:sz w:val="24"/>
        </w:rPr>
        <w:t>年至</w:t>
      </w:r>
      <w:r w:rsidRPr="008940A4">
        <w:rPr>
          <w:rFonts w:asciiTheme="minorEastAsia" w:eastAsiaTheme="minorEastAsia" w:hAnsiTheme="minorEastAsia"/>
          <w:sz w:val="24"/>
        </w:rPr>
        <w:t>2023</w:t>
      </w:r>
      <w:r w:rsidRPr="008940A4">
        <w:rPr>
          <w:rFonts w:asciiTheme="minorEastAsia" w:eastAsiaTheme="minorEastAsia" w:hAnsiTheme="minorEastAsia" w:hint="eastAsia"/>
          <w:sz w:val="24"/>
        </w:rPr>
        <w:t>的净利润产生影响，考虑到股权激励计划对公司发展产生的</w:t>
      </w:r>
      <w:bookmarkStart w:id="1" w:name="_GoBack"/>
      <w:bookmarkEnd w:id="1"/>
      <w:r w:rsidRPr="008940A4">
        <w:rPr>
          <w:rFonts w:asciiTheme="minorEastAsia" w:eastAsiaTheme="minorEastAsia" w:hAnsiTheme="minorEastAsia" w:hint="eastAsia"/>
          <w:sz w:val="24"/>
        </w:rPr>
        <w:t>正向作用，激励计划带来的公司业绩提升将远高于因其带来的费用增加。上述对公司财务状况和经营成果的影响仅为测算数据，应以会计师事务所出具的年度审计报告为准。</w:t>
      </w:r>
    </w:p>
    <w:p w14:paraId="196ED718" w14:textId="23C76326" w:rsidR="001F6E9D" w:rsidRPr="002660C5" w:rsidRDefault="008940A4" w:rsidP="00220F07">
      <w:pPr>
        <w:widowControl/>
        <w:shd w:val="clear" w:color="auto" w:fill="FFFFFF"/>
        <w:spacing w:beforeLines="50" w:before="156" w:afterLines="50" w:after="156" w:line="500" w:lineRule="exact"/>
        <w:ind w:firstLineChars="200" w:firstLine="482"/>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五</w:t>
      </w:r>
      <w:r w:rsidR="001F6E9D" w:rsidRPr="002660C5">
        <w:rPr>
          <w:rFonts w:asciiTheme="minorEastAsia" w:eastAsiaTheme="minorEastAsia" w:hAnsiTheme="minorEastAsia" w:hint="eastAsia"/>
          <w:b/>
          <w:kern w:val="0"/>
          <w:sz w:val="24"/>
        </w:rPr>
        <w:t>、登记完成情况</w:t>
      </w:r>
    </w:p>
    <w:p w14:paraId="037F0848" w14:textId="6DBB0F62" w:rsidR="001F6E9D" w:rsidRPr="002660C5" w:rsidRDefault="001F6E9D" w:rsidP="002660C5">
      <w:pPr>
        <w:widowControl/>
        <w:shd w:val="clear" w:color="auto" w:fill="FFFFFF"/>
        <w:spacing w:line="500" w:lineRule="exact"/>
        <w:ind w:firstLineChars="200" w:firstLine="480"/>
        <w:jc w:val="left"/>
        <w:rPr>
          <w:rFonts w:asciiTheme="minorEastAsia" w:eastAsiaTheme="minorEastAsia" w:hAnsiTheme="minorEastAsia"/>
          <w:kern w:val="0"/>
          <w:sz w:val="24"/>
        </w:rPr>
      </w:pPr>
      <w:r w:rsidRPr="002660C5">
        <w:rPr>
          <w:rFonts w:asciiTheme="minorEastAsia" w:eastAsiaTheme="minorEastAsia" w:hAnsiTheme="minorEastAsia" w:hint="eastAsia"/>
          <w:kern w:val="0"/>
          <w:sz w:val="24"/>
        </w:rPr>
        <w:t>1、期权简称：华孚</w:t>
      </w:r>
      <w:proofErr w:type="spellStart"/>
      <w:r w:rsidR="00476CBD">
        <w:rPr>
          <w:rFonts w:asciiTheme="minorEastAsia" w:eastAsiaTheme="minorEastAsia" w:hAnsiTheme="minorEastAsia" w:hint="eastAsia"/>
          <w:kern w:val="0"/>
          <w:sz w:val="24"/>
        </w:rPr>
        <w:t>JLC4</w:t>
      </w:r>
      <w:proofErr w:type="spellEnd"/>
    </w:p>
    <w:p w14:paraId="503A4A37" w14:textId="0571F64A" w:rsidR="001F6E9D" w:rsidRPr="002660C5" w:rsidRDefault="001F6E9D" w:rsidP="002660C5">
      <w:pPr>
        <w:widowControl/>
        <w:shd w:val="clear" w:color="auto" w:fill="FFFFFF"/>
        <w:spacing w:line="500" w:lineRule="exact"/>
        <w:ind w:firstLineChars="200" w:firstLine="480"/>
        <w:jc w:val="left"/>
        <w:rPr>
          <w:rFonts w:asciiTheme="minorEastAsia" w:eastAsiaTheme="minorEastAsia" w:hAnsiTheme="minorEastAsia"/>
          <w:kern w:val="0"/>
          <w:sz w:val="24"/>
        </w:rPr>
      </w:pPr>
      <w:r w:rsidRPr="002660C5">
        <w:rPr>
          <w:rFonts w:asciiTheme="minorEastAsia" w:eastAsiaTheme="minorEastAsia" w:hAnsiTheme="minorEastAsia" w:hint="eastAsia"/>
          <w:kern w:val="0"/>
          <w:sz w:val="24"/>
        </w:rPr>
        <w:t>2、期权代码：</w:t>
      </w:r>
      <w:r w:rsidR="00EC20F9">
        <w:rPr>
          <w:rFonts w:asciiTheme="minorEastAsia" w:eastAsiaTheme="minorEastAsia" w:hAnsiTheme="minorEastAsia" w:hint="eastAsia"/>
          <w:kern w:val="0"/>
          <w:sz w:val="24"/>
        </w:rPr>
        <w:t>037201</w:t>
      </w:r>
      <w:r w:rsidR="00476CBD">
        <w:rPr>
          <w:rFonts w:asciiTheme="minorEastAsia" w:eastAsiaTheme="minorEastAsia" w:hAnsiTheme="minorEastAsia" w:hint="eastAsia"/>
          <w:kern w:val="0"/>
          <w:sz w:val="24"/>
        </w:rPr>
        <w:t xml:space="preserve"> </w:t>
      </w:r>
    </w:p>
    <w:p w14:paraId="732B8833" w14:textId="33649AFA" w:rsidR="001F6E9D" w:rsidRPr="002660C5" w:rsidRDefault="001F6E9D" w:rsidP="002660C5">
      <w:pPr>
        <w:widowControl/>
        <w:shd w:val="clear" w:color="auto" w:fill="FFFFFF"/>
        <w:spacing w:line="500" w:lineRule="exact"/>
        <w:ind w:firstLineChars="200" w:firstLine="480"/>
        <w:jc w:val="left"/>
        <w:rPr>
          <w:rFonts w:asciiTheme="minorEastAsia" w:eastAsiaTheme="minorEastAsia" w:hAnsiTheme="minorEastAsia"/>
          <w:kern w:val="0"/>
          <w:sz w:val="24"/>
        </w:rPr>
      </w:pPr>
      <w:r w:rsidRPr="002660C5">
        <w:rPr>
          <w:rFonts w:asciiTheme="minorEastAsia" w:eastAsiaTheme="minorEastAsia" w:hAnsiTheme="minorEastAsia" w:hint="eastAsia"/>
          <w:kern w:val="0"/>
          <w:sz w:val="24"/>
        </w:rPr>
        <w:t>3、授予登记完成时间：</w:t>
      </w:r>
      <w:r w:rsidR="00476CBD">
        <w:rPr>
          <w:rFonts w:asciiTheme="minorEastAsia" w:eastAsiaTheme="minorEastAsia" w:hAnsiTheme="minorEastAsia" w:hint="eastAsia"/>
          <w:kern w:val="0"/>
          <w:sz w:val="24"/>
        </w:rPr>
        <w:t>2022</w:t>
      </w:r>
      <w:r w:rsidRPr="002660C5">
        <w:rPr>
          <w:rFonts w:asciiTheme="minorEastAsia" w:eastAsiaTheme="minorEastAsia" w:hAnsiTheme="minorEastAsia" w:hint="eastAsia"/>
          <w:kern w:val="0"/>
          <w:sz w:val="24"/>
        </w:rPr>
        <w:t>年</w:t>
      </w:r>
      <w:r w:rsidR="00476CBD">
        <w:rPr>
          <w:rFonts w:asciiTheme="minorEastAsia" w:eastAsiaTheme="minorEastAsia" w:hAnsiTheme="minorEastAsia" w:hint="eastAsia"/>
          <w:kern w:val="0"/>
          <w:sz w:val="24"/>
        </w:rPr>
        <w:t>1</w:t>
      </w:r>
      <w:r w:rsidRPr="002660C5">
        <w:rPr>
          <w:rFonts w:asciiTheme="minorEastAsia" w:eastAsiaTheme="minorEastAsia" w:hAnsiTheme="minorEastAsia" w:hint="eastAsia"/>
          <w:kern w:val="0"/>
          <w:sz w:val="24"/>
        </w:rPr>
        <w:t>月</w:t>
      </w:r>
      <w:r w:rsidR="00F52A74">
        <w:rPr>
          <w:rFonts w:asciiTheme="minorEastAsia" w:eastAsiaTheme="minorEastAsia" w:hAnsiTheme="minorEastAsia" w:hint="eastAsia"/>
          <w:kern w:val="0"/>
          <w:sz w:val="24"/>
        </w:rPr>
        <w:t>11</w:t>
      </w:r>
      <w:r w:rsidRPr="002660C5">
        <w:rPr>
          <w:rFonts w:asciiTheme="minorEastAsia" w:eastAsiaTheme="minorEastAsia" w:hAnsiTheme="minorEastAsia" w:hint="eastAsia"/>
          <w:kern w:val="0"/>
          <w:sz w:val="24"/>
        </w:rPr>
        <w:t>日</w:t>
      </w:r>
    </w:p>
    <w:p w14:paraId="2BF02D66" w14:textId="5733C7A0" w:rsidR="002660C5" w:rsidRPr="002660C5" w:rsidRDefault="008940A4" w:rsidP="002660C5">
      <w:pPr>
        <w:widowControl/>
        <w:shd w:val="clear" w:color="auto" w:fill="FFFFFF"/>
        <w:spacing w:beforeLines="50" w:before="156" w:afterLines="50" w:after="156" w:line="500" w:lineRule="exact"/>
        <w:ind w:firstLineChars="200" w:firstLine="482"/>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六</w:t>
      </w:r>
      <w:r w:rsidR="002660C5" w:rsidRPr="002660C5">
        <w:rPr>
          <w:rFonts w:asciiTheme="minorEastAsia" w:eastAsiaTheme="minorEastAsia" w:hAnsiTheme="minorEastAsia" w:hint="eastAsia"/>
          <w:b/>
          <w:kern w:val="0"/>
          <w:sz w:val="24"/>
        </w:rPr>
        <w:t>、</w:t>
      </w:r>
      <w:r w:rsidR="002660C5" w:rsidRPr="002660C5">
        <w:rPr>
          <w:rFonts w:asciiTheme="minorEastAsia" w:eastAsiaTheme="minorEastAsia" w:hAnsiTheme="minorEastAsia" w:hint="eastAsia"/>
          <w:b/>
          <w:sz w:val="24"/>
        </w:rPr>
        <w:t>本次股票期权激励计划的影响</w:t>
      </w:r>
    </w:p>
    <w:p w14:paraId="4FAB7E5A" w14:textId="1CE67CD2" w:rsidR="002660C5" w:rsidRPr="002660C5" w:rsidRDefault="002660C5" w:rsidP="002660C5">
      <w:pPr>
        <w:widowControl/>
        <w:shd w:val="clear" w:color="auto" w:fill="FFFFFF"/>
        <w:spacing w:line="500" w:lineRule="exact"/>
        <w:ind w:firstLineChars="200" w:firstLine="480"/>
        <w:jc w:val="left"/>
        <w:rPr>
          <w:rFonts w:asciiTheme="minorEastAsia" w:eastAsiaTheme="minorEastAsia" w:hAnsiTheme="minorEastAsia"/>
          <w:b/>
          <w:kern w:val="0"/>
          <w:sz w:val="24"/>
        </w:rPr>
      </w:pPr>
      <w:r w:rsidRPr="002660C5">
        <w:rPr>
          <w:rFonts w:asciiTheme="minorEastAsia" w:eastAsiaTheme="minorEastAsia" w:hAnsiTheme="minorEastAsia" w:hint="eastAsia"/>
          <w:sz w:val="24"/>
        </w:rPr>
        <w:t>本次股票期权激励计划的实施有利于进一步完善公司的法人治理结构，吸引和留住优秀人才、促进公司建立、健全激励约束机制，充分调动公司任职的董事、高级管理人员、</w:t>
      </w:r>
      <w:r w:rsidR="00B67949">
        <w:rPr>
          <w:rFonts w:asciiTheme="minorEastAsia" w:eastAsiaTheme="minorEastAsia" w:hAnsiTheme="minorEastAsia" w:hint="eastAsia"/>
          <w:sz w:val="24"/>
        </w:rPr>
        <w:t>核心技术（业务）骨干人员（不包括独立董事、监事）</w:t>
      </w:r>
      <w:r w:rsidRPr="002660C5">
        <w:rPr>
          <w:rFonts w:asciiTheme="minorEastAsia" w:eastAsiaTheme="minorEastAsia" w:hAnsiTheme="minorEastAsia" w:hint="eastAsia"/>
          <w:sz w:val="24"/>
        </w:rPr>
        <w:t>的积极性，</w:t>
      </w:r>
      <w:r w:rsidR="00B67949">
        <w:rPr>
          <w:rFonts w:asciiTheme="minorEastAsia" w:eastAsiaTheme="minorEastAsia" w:hAnsiTheme="minorEastAsia" w:hint="eastAsia"/>
          <w:sz w:val="24"/>
        </w:rPr>
        <w:t>符合公司发展战略。</w:t>
      </w:r>
      <w:r w:rsidR="00B67949" w:rsidRPr="002660C5">
        <w:rPr>
          <w:rFonts w:asciiTheme="minorEastAsia" w:eastAsiaTheme="minorEastAsia" w:hAnsiTheme="minorEastAsia" w:hint="eastAsia"/>
          <w:b/>
          <w:kern w:val="0"/>
          <w:sz w:val="24"/>
        </w:rPr>
        <w:t xml:space="preserve"> </w:t>
      </w:r>
    </w:p>
    <w:p w14:paraId="361E8B0D" w14:textId="04ADCB99" w:rsidR="00AB55FC" w:rsidRPr="002660C5" w:rsidRDefault="00AB55FC" w:rsidP="002660C5">
      <w:pPr>
        <w:spacing w:line="500" w:lineRule="exact"/>
        <w:ind w:firstLineChars="200" w:firstLine="480"/>
        <w:rPr>
          <w:rFonts w:asciiTheme="minorEastAsia" w:eastAsiaTheme="minorEastAsia" w:hAnsiTheme="minorEastAsia"/>
          <w:sz w:val="24"/>
        </w:rPr>
      </w:pPr>
      <w:r w:rsidRPr="002660C5">
        <w:rPr>
          <w:rFonts w:asciiTheme="minorEastAsia" w:eastAsiaTheme="minorEastAsia" w:hAnsiTheme="minorEastAsia" w:hint="eastAsia"/>
          <w:sz w:val="24"/>
        </w:rPr>
        <w:t>特此</w:t>
      </w:r>
      <w:r w:rsidR="00E710CF" w:rsidRPr="002660C5">
        <w:rPr>
          <w:rFonts w:asciiTheme="minorEastAsia" w:eastAsiaTheme="minorEastAsia" w:hAnsiTheme="minorEastAsia" w:hint="eastAsia"/>
          <w:sz w:val="24"/>
        </w:rPr>
        <w:t>公告</w:t>
      </w:r>
      <w:r w:rsidR="008D782D" w:rsidRPr="002660C5">
        <w:rPr>
          <w:rFonts w:asciiTheme="minorEastAsia" w:eastAsiaTheme="minorEastAsia" w:hAnsiTheme="minorEastAsia" w:hint="eastAsia"/>
          <w:sz w:val="24"/>
        </w:rPr>
        <w:t>。</w:t>
      </w:r>
    </w:p>
    <w:p w14:paraId="62647979" w14:textId="77777777" w:rsidR="00AB55FC" w:rsidRPr="002660C5" w:rsidRDefault="00AB55FC" w:rsidP="002660C5">
      <w:pPr>
        <w:spacing w:line="500" w:lineRule="exact"/>
        <w:ind w:firstLineChars="200" w:firstLine="480"/>
        <w:jc w:val="right"/>
        <w:rPr>
          <w:rFonts w:asciiTheme="minorEastAsia" w:eastAsiaTheme="minorEastAsia" w:hAnsiTheme="minorEastAsia"/>
          <w:sz w:val="24"/>
        </w:rPr>
      </w:pPr>
      <w:r w:rsidRPr="002660C5">
        <w:rPr>
          <w:rFonts w:asciiTheme="minorEastAsia" w:eastAsiaTheme="minorEastAsia" w:hAnsiTheme="minorEastAsia" w:hint="eastAsia"/>
          <w:sz w:val="24"/>
        </w:rPr>
        <w:t>华孚时尚股份有限公司董事会</w:t>
      </w:r>
    </w:p>
    <w:p w14:paraId="5C46EA72" w14:textId="7032CD25" w:rsidR="00F46226" w:rsidRPr="002660C5" w:rsidRDefault="00476CBD" w:rsidP="00220F07">
      <w:pPr>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二〇二二</w:t>
      </w:r>
      <w:r w:rsidR="00FF06C7" w:rsidRPr="002660C5">
        <w:rPr>
          <w:rFonts w:asciiTheme="minorEastAsia" w:eastAsiaTheme="minorEastAsia" w:hAnsiTheme="minorEastAsia" w:hint="eastAsia"/>
          <w:sz w:val="24"/>
        </w:rPr>
        <w:t>年</w:t>
      </w:r>
      <w:r>
        <w:rPr>
          <w:rFonts w:asciiTheme="minorEastAsia" w:eastAsiaTheme="minorEastAsia" w:hAnsiTheme="minorEastAsia" w:hint="eastAsia"/>
          <w:sz w:val="24"/>
        </w:rPr>
        <w:t>一</w:t>
      </w:r>
      <w:r w:rsidR="00FF06C7" w:rsidRPr="002660C5">
        <w:rPr>
          <w:rFonts w:asciiTheme="minorEastAsia" w:eastAsiaTheme="minorEastAsia" w:hAnsiTheme="minorEastAsia" w:hint="eastAsia"/>
          <w:sz w:val="24"/>
        </w:rPr>
        <w:t>月</w:t>
      </w:r>
      <w:r w:rsidR="00F52A74">
        <w:rPr>
          <w:rFonts w:asciiTheme="minorEastAsia" w:eastAsiaTheme="minorEastAsia" w:hAnsiTheme="minorEastAsia" w:hint="eastAsia"/>
          <w:sz w:val="24"/>
        </w:rPr>
        <w:t>十二</w:t>
      </w:r>
      <w:r w:rsidR="00AB55FC" w:rsidRPr="002660C5">
        <w:rPr>
          <w:rFonts w:asciiTheme="minorEastAsia" w:eastAsiaTheme="minorEastAsia" w:hAnsiTheme="minorEastAsia" w:hint="eastAsia"/>
          <w:sz w:val="24"/>
        </w:rPr>
        <w:t>日</w:t>
      </w:r>
      <w:r w:rsidR="00904252" w:rsidRPr="002660C5">
        <w:rPr>
          <w:rFonts w:asciiTheme="minorEastAsia" w:eastAsiaTheme="minorEastAsia" w:hAnsiTheme="minorEastAsia" w:hint="eastAsia"/>
          <w:color w:val="000000" w:themeColor="text1"/>
          <w:sz w:val="24"/>
        </w:rPr>
        <w:t xml:space="preserve"> </w:t>
      </w:r>
    </w:p>
    <w:sectPr w:rsidR="00F46226" w:rsidRPr="002660C5" w:rsidSect="00F86FE5">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F8319" w14:textId="77777777" w:rsidR="00710B61" w:rsidRDefault="00710B61" w:rsidP="00513666">
      <w:r>
        <w:separator/>
      </w:r>
    </w:p>
  </w:endnote>
  <w:endnote w:type="continuationSeparator" w:id="0">
    <w:p w14:paraId="7C36F4A3" w14:textId="77777777" w:rsidR="00710B61" w:rsidRDefault="00710B61"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19680" w14:textId="77777777" w:rsidR="00710B61" w:rsidRDefault="00710B61" w:rsidP="00513666">
      <w:r>
        <w:separator/>
      </w:r>
    </w:p>
  </w:footnote>
  <w:footnote w:type="continuationSeparator" w:id="0">
    <w:p w14:paraId="5736A968" w14:textId="77777777" w:rsidR="00710B61" w:rsidRDefault="00710B61"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abstractNum w:abstractNumId="1">
    <w:nsid w:val="42F27E08"/>
    <w:multiLevelType w:val="hybridMultilevel"/>
    <w:tmpl w:val="AF1AE986"/>
    <w:lvl w:ilvl="0" w:tplc="A914E1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53278A6"/>
    <w:multiLevelType w:val="hybridMultilevel"/>
    <w:tmpl w:val="F54E7024"/>
    <w:lvl w:ilvl="0" w:tplc="3A38C1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ar-SA"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05A31"/>
    <w:rsid w:val="00021D4F"/>
    <w:rsid w:val="00027285"/>
    <w:rsid w:val="00046436"/>
    <w:rsid w:val="0006049B"/>
    <w:rsid w:val="00060EE2"/>
    <w:rsid w:val="000613EC"/>
    <w:rsid w:val="0006215F"/>
    <w:rsid w:val="0006453D"/>
    <w:rsid w:val="0006458E"/>
    <w:rsid w:val="000828CB"/>
    <w:rsid w:val="00094650"/>
    <w:rsid w:val="000C3EEF"/>
    <w:rsid w:val="000C441D"/>
    <w:rsid w:val="000C77B5"/>
    <w:rsid w:val="000D0FD5"/>
    <w:rsid w:val="000F54E5"/>
    <w:rsid w:val="00101061"/>
    <w:rsid w:val="00110CA2"/>
    <w:rsid w:val="00126ED6"/>
    <w:rsid w:val="00127043"/>
    <w:rsid w:val="001279FE"/>
    <w:rsid w:val="0013173E"/>
    <w:rsid w:val="00140C81"/>
    <w:rsid w:val="00146BD2"/>
    <w:rsid w:val="001478C2"/>
    <w:rsid w:val="0015250C"/>
    <w:rsid w:val="001567A2"/>
    <w:rsid w:val="00160828"/>
    <w:rsid w:val="00171561"/>
    <w:rsid w:val="00176905"/>
    <w:rsid w:val="00182160"/>
    <w:rsid w:val="001834CB"/>
    <w:rsid w:val="001C52BE"/>
    <w:rsid w:val="001C65F6"/>
    <w:rsid w:val="001E1AEE"/>
    <w:rsid w:val="001E40DC"/>
    <w:rsid w:val="001E7CAE"/>
    <w:rsid w:val="001E7F86"/>
    <w:rsid w:val="001F5208"/>
    <w:rsid w:val="001F6DAD"/>
    <w:rsid w:val="001F6E9D"/>
    <w:rsid w:val="00206497"/>
    <w:rsid w:val="002172DF"/>
    <w:rsid w:val="00220F07"/>
    <w:rsid w:val="00223E6A"/>
    <w:rsid w:val="0023775A"/>
    <w:rsid w:val="002471B0"/>
    <w:rsid w:val="002543BD"/>
    <w:rsid w:val="002660C5"/>
    <w:rsid w:val="002848B7"/>
    <w:rsid w:val="00285BC5"/>
    <w:rsid w:val="0028605B"/>
    <w:rsid w:val="00287882"/>
    <w:rsid w:val="00287EF9"/>
    <w:rsid w:val="00290AA8"/>
    <w:rsid w:val="0029140F"/>
    <w:rsid w:val="002B3EEA"/>
    <w:rsid w:val="002C5278"/>
    <w:rsid w:val="002C560D"/>
    <w:rsid w:val="002C7B47"/>
    <w:rsid w:val="002C7B5D"/>
    <w:rsid w:val="002D444C"/>
    <w:rsid w:val="002E411B"/>
    <w:rsid w:val="002E4AAA"/>
    <w:rsid w:val="002E4D38"/>
    <w:rsid w:val="002E5847"/>
    <w:rsid w:val="002F061A"/>
    <w:rsid w:val="002F0958"/>
    <w:rsid w:val="002F5470"/>
    <w:rsid w:val="002F5679"/>
    <w:rsid w:val="00310390"/>
    <w:rsid w:val="003154AC"/>
    <w:rsid w:val="00315C1A"/>
    <w:rsid w:val="00320B99"/>
    <w:rsid w:val="00330926"/>
    <w:rsid w:val="00334C9B"/>
    <w:rsid w:val="003516EC"/>
    <w:rsid w:val="00354592"/>
    <w:rsid w:val="00356728"/>
    <w:rsid w:val="003578A0"/>
    <w:rsid w:val="003629BA"/>
    <w:rsid w:val="00364955"/>
    <w:rsid w:val="00380D00"/>
    <w:rsid w:val="00381A4C"/>
    <w:rsid w:val="00385ACB"/>
    <w:rsid w:val="00393B26"/>
    <w:rsid w:val="003A4C8C"/>
    <w:rsid w:val="003B05DC"/>
    <w:rsid w:val="003C0CB7"/>
    <w:rsid w:val="003C56A0"/>
    <w:rsid w:val="003D0235"/>
    <w:rsid w:val="003D0B0A"/>
    <w:rsid w:val="003E3AAF"/>
    <w:rsid w:val="003E5FBF"/>
    <w:rsid w:val="003E71D3"/>
    <w:rsid w:val="00402859"/>
    <w:rsid w:val="00402D19"/>
    <w:rsid w:val="00403B77"/>
    <w:rsid w:val="004163C7"/>
    <w:rsid w:val="004210D4"/>
    <w:rsid w:val="004311AF"/>
    <w:rsid w:val="00435E25"/>
    <w:rsid w:val="00457C11"/>
    <w:rsid w:val="00476CBD"/>
    <w:rsid w:val="00486294"/>
    <w:rsid w:val="00491C4F"/>
    <w:rsid w:val="00491C54"/>
    <w:rsid w:val="004B0A00"/>
    <w:rsid w:val="004C00CC"/>
    <w:rsid w:val="004C5303"/>
    <w:rsid w:val="004D02A2"/>
    <w:rsid w:val="004E5A97"/>
    <w:rsid w:val="004E7761"/>
    <w:rsid w:val="004F2958"/>
    <w:rsid w:val="00506131"/>
    <w:rsid w:val="00513666"/>
    <w:rsid w:val="0052432D"/>
    <w:rsid w:val="005263E5"/>
    <w:rsid w:val="005277F9"/>
    <w:rsid w:val="00533264"/>
    <w:rsid w:val="00535958"/>
    <w:rsid w:val="0053733D"/>
    <w:rsid w:val="00544E48"/>
    <w:rsid w:val="00546560"/>
    <w:rsid w:val="00557E96"/>
    <w:rsid w:val="005613B9"/>
    <w:rsid w:val="00583371"/>
    <w:rsid w:val="00591C64"/>
    <w:rsid w:val="005B015C"/>
    <w:rsid w:val="005C013D"/>
    <w:rsid w:val="005C3D39"/>
    <w:rsid w:val="005C6441"/>
    <w:rsid w:val="005D4736"/>
    <w:rsid w:val="005E16B5"/>
    <w:rsid w:val="005E2889"/>
    <w:rsid w:val="005E499F"/>
    <w:rsid w:val="005E72F7"/>
    <w:rsid w:val="005F5E1E"/>
    <w:rsid w:val="005F6675"/>
    <w:rsid w:val="0060070E"/>
    <w:rsid w:val="00603184"/>
    <w:rsid w:val="0060371E"/>
    <w:rsid w:val="006054E1"/>
    <w:rsid w:val="006066D0"/>
    <w:rsid w:val="00612902"/>
    <w:rsid w:val="006227B2"/>
    <w:rsid w:val="00625A3B"/>
    <w:rsid w:val="00630782"/>
    <w:rsid w:val="00635F55"/>
    <w:rsid w:val="00642779"/>
    <w:rsid w:val="00644F93"/>
    <w:rsid w:val="00645E7D"/>
    <w:rsid w:val="00651BD7"/>
    <w:rsid w:val="00653A0A"/>
    <w:rsid w:val="006543FF"/>
    <w:rsid w:val="00654F4D"/>
    <w:rsid w:val="00657A42"/>
    <w:rsid w:val="00666BB4"/>
    <w:rsid w:val="00672804"/>
    <w:rsid w:val="006735A6"/>
    <w:rsid w:val="00677B15"/>
    <w:rsid w:val="006822AB"/>
    <w:rsid w:val="00682C72"/>
    <w:rsid w:val="00683BC9"/>
    <w:rsid w:val="006901B6"/>
    <w:rsid w:val="00697B5C"/>
    <w:rsid w:val="006A10C6"/>
    <w:rsid w:val="006B057A"/>
    <w:rsid w:val="006B76BC"/>
    <w:rsid w:val="006C0744"/>
    <w:rsid w:val="006D1987"/>
    <w:rsid w:val="006D4106"/>
    <w:rsid w:val="006D7A8B"/>
    <w:rsid w:val="006E01BC"/>
    <w:rsid w:val="007049A5"/>
    <w:rsid w:val="00706157"/>
    <w:rsid w:val="00710B61"/>
    <w:rsid w:val="00712D19"/>
    <w:rsid w:val="0072245F"/>
    <w:rsid w:val="00722C50"/>
    <w:rsid w:val="00730BE0"/>
    <w:rsid w:val="00751D7B"/>
    <w:rsid w:val="00751DB6"/>
    <w:rsid w:val="00752DD8"/>
    <w:rsid w:val="00754F24"/>
    <w:rsid w:val="00785D68"/>
    <w:rsid w:val="007923D1"/>
    <w:rsid w:val="007B142B"/>
    <w:rsid w:val="007C4B6D"/>
    <w:rsid w:val="007D3D55"/>
    <w:rsid w:val="007D7D01"/>
    <w:rsid w:val="007E2B4B"/>
    <w:rsid w:val="007F1220"/>
    <w:rsid w:val="00800076"/>
    <w:rsid w:val="00801E94"/>
    <w:rsid w:val="00814399"/>
    <w:rsid w:val="0082520E"/>
    <w:rsid w:val="00832685"/>
    <w:rsid w:val="00840F9D"/>
    <w:rsid w:val="00841BE8"/>
    <w:rsid w:val="00862A46"/>
    <w:rsid w:val="008632D0"/>
    <w:rsid w:val="00864F71"/>
    <w:rsid w:val="0086580E"/>
    <w:rsid w:val="00866C8D"/>
    <w:rsid w:val="00867C42"/>
    <w:rsid w:val="00870C45"/>
    <w:rsid w:val="00875D02"/>
    <w:rsid w:val="008940A4"/>
    <w:rsid w:val="00894B73"/>
    <w:rsid w:val="008A6D2B"/>
    <w:rsid w:val="008A70BE"/>
    <w:rsid w:val="008C75BA"/>
    <w:rsid w:val="008D6D4E"/>
    <w:rsid w:val="008D782D"/>
    <w:rsid w:val="008E4955"/>
    <w:rsid w:val="008E5100"/>
    <w:rsid w:val="00904252"/>
    <w:rsid w:val="0090567A"/>
    <w:rsid w:val="0090601D"/>
    <w:rsid w:val="00914CAF"/>
    <w:rsid w:val="009164C5"/>
    <w:rsid w:val="009172FF"/>
    <w:rsid w:val="00923F05"/>
    <w:rsid w:val="0092636C"/>
    <w:rsid w:val="00926DDD"/>
    <w:rsid w:val="009313D9"/>
    <w:rsid w:val="00942C1D"/>
    <w:rsid w:val="00945E0B"/>
    <w:rsid w:val="0095506B"/>
    <w:rsid w:val="00973E66"/>
    <w:rsid w:val="00981F08"/>
    <w:rsid w:val="00991B2F"/>
    <w:rsid w:val="009979D5"/>
    <w:rsid w:val="009A287D"/>
    <w:rsid w:val="009A4A51"/>
    <w:rsid w:val="009A69D5"/>
    <w:rsid w:val="009A79CE"/>
    <w:rsid w:val="009C7337"/>
    <w:rsid w:val="009D0419"/>
    <w:rsid w:val="009E1B54"/>
    <w:rsid w:val="009E1F99"/>
    <w:rsid w:val="009E7BAD"/>
    <w:rsid w:val="009E7C55"/>
    <w:rsid w:val="009F1C4A"/>
    <w:rsid w:val="009F61BA"/>
    <w:rsid w:val="009F6527"/>
    <w:rsid w:val="00A03024"/>
    <w:rsid w:val="00A15C0F"/>
    <w:rsid w:val="00A20902"/>
    <w:rsid w:val="00A22881"/>
    <w:rsid w:val="00A44CA6"/>
    <w:rsid w:val="00A54269"/>
    <w:rsid w:val="00A61784"/>
    <w:rsid w:val="00A621BA"/>
    <w:rsid w:val="00A66923"/>
    <w:rsid w:val="00A76E27"/>
    <w:rsid w:val="00A77396"/>
    <w:rsid w:val="00A96E67"/>
    <w:rsid w:val="00AA0430"/>
    <w:rsid w:val="00AB28FD"/>
    <w:rsid w:val="00AB3DF6"/>
    <w:rsid w:val="00AB55FC"/>
    <w:rsid w:val="00AC4732"/>
    <w:rsid w:val="00AC591E"/>
    <w:rsid w:val="00AC7461"/>
    <w:rsid w:val="00AC78DF"/>
    <w:rsid w:val="00AD184D"/>
    <w:rsid w:val="00AD323A"/>
    <w:rsid w:val="00AD5EEB"/>
    <w:rsid w:val="00AD7E3E"/>
    <w:rsid w:val="00AE2DEA"/>
    <w:rsid w:val="00AF27B7"/>
    <w:rsid w:val="00B00FF3"/>
    <w:rsid w:val="00B01CAE"/>
    <w:rsid w:val="00B2205B"/>
    <w:rsid w:val="00B25643"/>
    <w:rsid w:val="00B43F30"/>
    <w:rsid w:val="00B54B32"/>
    <w:rsid w:val="00B67949"/>
    <w:rsid w:val="00B911E6"/>
    <w:rsid w:val="00BA1031"/>
    <w:rsid w:val="00BA1DEB"/>
    <w:rsid w:val="00BA33E3"/>
    <w:rsid w:val="00BC03F6"/>
    <w:rsid w:val="00BD3354"/>
    <w:rsid w:val="00BF13AE"/>
    <w:rsid w:val="00C00782"/>
    <w:rsid w:val="00C10CA4"/>
    <w:rsid w:val="00C16C58"/>
    <w:rsid w:val="00C17415"/>
    <w:rsid w:val="00C218C2"/>
    <w:rsid w:val="00C244BC"/>
    <w:rsid w:val="00C25439"/>
    <w:rsid w:val="00C257C7"/>
    <w:rsid w:val="00C32412"/>
    <w:rsid w:val="00C35F46"/>
    <w:rsid w:val="00C42548"/>
    <w:rsid w:val="00C5092B"/>
    <w:rsid w:val="00C56B4E"/>
    <w:rsid w:val="00C65149"/>
    <w:rsid w:val="00C65F5E"/>
    <w:rsid w:val="00C661BB"/>
    <w:rsid w:val="00C67D79"/>
    <w:rsid w:val="00C7087D"/>
    <w:rsid w:val="00C70B8C"/>
    <w:rsid w:val="00C81BF6"/>
    <w:rsid w:val="00C86C01"/>
    <w:rsid w:val="00C93548"/>
    <w:rsid w:val="00C9375F"/>
    <w:rsid w:val="00C94388"/>
    <w:rsid w:val="00CA5B6F"/>
    <w:rsid w:val="00CA6157"/>
    <w:rsid w:val="00CA6B4C"/>
    <w:rsid w:val="00CB6EE5"/>
    <w:rsid w:val="00CD2915"/>
    <w:rsid w:val="00CD58B9"/>
    <w:rsid w:val="00CF0030"/>
    <w:rsid w:val="00CF5779"/>
    <w:rsid w:val="00D05027"/>
    <w:rsid w:val="00D05BBD"/>
    <w:rsid w:val="00D17607"/>
    <w:rsid w:val="00D2418C"/>
    <w:rsid w:val="00D3552D"/>
    <w:rsid w:val="00D4053F"/>
    <w:rsid w:val="00D500B8"/>
    <w:rsid w:val="00D54BAD"/>
    <w:rsid w:val="00D55908"/>
    <w:rsid w:val="00D607B4"/>
    <w:rsid w:val="00D851B2"/>
    <w:rsid w:val="00D93D72"/>
    <w:rsid w:val="00D94677"/>
    <w:rsid w:val="00D95F95"/>
    <w:rsid w:val="00DA360D"/>
    <w:rsid w:val="00DC1C68"/>
    <w:rsid w:val="00DC7DB7"/>
    <w:rsid w:val="00DD06BA"/>
    <w:rsid w:val="00DD2386"/>
    <w:rsid w:val="00DD35A5"/>
    <w:rsid w:val="00DD743F"/>
    <w:rsid w:val="00DE15AA"/>
    <w:rsid w:val="00E228CF"/>
    <w:rsid w:val="00E26A2E"/>
    <w:rsid w:val="00E32550"/>
    <w:rsid w:val="00E41F0B"/>
    <w:rsid w:val="00E52887"/>
    <w:rsid w:val="00E56D00"/>
    <w:rsid w:val="00E66DD5"/>
    <w:rsid w:val="00E710CF"/>
    <w:rsid w:val="00E83A7B"/>
    <w:rsid w:val="00E865EC"/>
    <w:rsid w:val="00E9202C"/>
    <w:rsid w:val="00EA7364"/>
    <w:rsid w:val="00EB3F7D"/>
    <w:rsid w:val="00EB6464"/>
    <w:rsid w:val="00EC20F9"/>
    <w:rsid w:val="00EE623C"/>
    <w:rsid w:val="00EF0A80"/>
    <w:rsid w:val="00EF50F2"/>
    <w:rsid w:val="00F01039"/>
    <w:rsid w:val="00F03721"/>
    <w:rsid w:val="00F0568E"/>
    <w:rsid w:val="00F20402"/>
    <w:rsid w:val="00F348A4"/>
    <w:rsid w:val="00F35B02"/>
    <w:rsid w:val="00F362EF"/>
    <w:rsid w:val="00F46226"/>
    <w:rsid w:val="00F52A74"/>
    <w:rsid w:val="00F52F87"/>
    <w:rsid w:val="00F54AEF"/>
    <w:rsid w:val="00F57793"/>
    <w:rsid w:val="00F73934"/>
    <w:rsid w:val="00F758CC"/>
    <w:rsid w:val="00F849F9"/>
    <w:rsid w:val="00F86FE5"/>
    <w:rsid w:val="00FB62A6"/>
    <w:rsid w:val="00FB79BB"/>
    <w:rsid w:val="00FC7B92"/>
    <w:rsid w:val="00FD19EC"/>
    <w:rsid w:val="00FE136A"/>
    <w:rsid w:val="00FE3F96"/>
    <w:rsid w:val="00FE4E3F"/>
    <w:rsid w:val="00FE6D2F"/>
    <w:rsid w:val="00FF06C7"/>
    <w:rsid w:val="00FF4964"/>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643</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标题</vt:lpstr>
      </vt:variant>
      <vt:variant>
        <vt:i4>10</vt:i4>
      </vt:variant>
    </vt:vector>
  </HeadingPairs>
  <TitlesOfParts>
    <vt:vector size="11" baseType="lpstr">
      <vt:lpstr/>
      <vt:lpstr>重要内容提示：</vt:lpstr>
      <vt:lpstr>1、股票期权简称：华孚JLC4</vt:lpstr>
      <vt:lpstr>2、股票期权代码：037201</vt:lpstr>
      <vt:lpstr>3、股票期权授予日：2021年12月24日</vt:lpstr>
      <vt:lpstr>4、股票期权授予数量：500万份</vt:lpstr>
      <vt:lpstr>5、股票期权行权价格：4.43元/股</vt:lpstr>
      <vt:lpstr>6、股票期权激励对象人数：39人</vt:lpstr>
      <vt:lpstr>7、股票期权登记完成时间：2022年1月7日</vt:lpstr>
      <vt:lpstr>根据中国证券监督管理委员会《上市公司股权激励管理办法》、深圳证券交易所、中国证券登记结算有限责任公司深圳分公司有关规则、华孚时尚股份有限公司（以下简称“公司”）</vt:lpstr>
      <vt:lpstr>一、股票期权简述及已履行的程序</vt:lpstr>
    </vt:vector>
  </TitlesOfParts>
  <Company>Lenovo</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8</cp:revision>
  <dcterms:created xsi:type="dcterms:W3CDTF">2021-12-30T03:59:00Z</dcterms:created>
  <dcterms:modified xsi:type="dcterms:W3CDTF">2022-01-11T06:57:00Z</dcterms:modified>
</cp:coreProperties>
</file>