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481418" w:rsidRDefault="006E6AFD" w:rsidP="00030938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 w:rsidRPr="00481418">
        <w:rPr>
          <w:rFonts w:ascii="黑体" w:eastAsia="黑体" w:hAnsi="黑体"/>
          <w:bCs/>
          <w:kern w:val="0"/>
          <w:szCs w:val="21"/>
        </w:rPr>
        <w:t xml:space="preserve">证券代码：002042    </w:t>
      </w:r>
      <w:r w:rsidR="00107892" w:rsidRPr="00481418">
        <w:rPr>
          <w:rFonts w:ascii="黑体" w:eastAsia="黑体" w:hAnsi="黑体" w:hint="eastAsia"/>
          <w:bCs/>
          <w:kern w:val="0"/>
          <w:szCs w:val="21"/>
        </w:rPr>
        <w:t xml:space="preserve">  </w:t>
      </w:r>
      <w:r w:rsidRPr="00481418">
        <w:rPr>
          <w:rFonts w:ascii="黑体" w:eastAsia="黑体" w:hAnsi="黑体"/>
          <w:bCs/>
          <w:kern w:val="0"/>
          <w:szCs w:val="21"/>
        </w:rPr>
        <w:t xml:space="preserve">    </w:t>
      </w:r>
      <w:r w:rsidR="00107892" w:rsidRPr="00481418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Pr="00481418">
        <w:rPr>
          <w:rFonts w:ascii="黑体" w:eastAsia="黑体" w:hAnsi="黑体"/>
          <w:bCs/>
          <w:kern w:val="0"/>
          <w:szCs w:val="21"/>
        </w:rPr>
        <w:t xml:space="preserve"> 证券简称：华孚</w:t>
      </w:r>
      <w:r w:rsidR="00704E4B" w:rsidRPr="00481418">
        <w:rPr>
          <w:rFonts w:ascii="黑体" w:eastAsia="黑体" w:hAnsi="黑体"/>
          <w:bCs/>
          <w:kern w:val="0"/>
          <w:szCs w:val="21"/>
        </w:rPr>
        <w:t>时尚</w:t>
      </w:r>
      <w:r w:rsidRPr="00481418">
        <w:rPr>
          <w:rFonts w:ascii="黑体" w:eastAsia="黑体" w:hAnsi="黑体"/>
          <w:bCs/>
          <w:kern w:val="0"/>
          <w:szCs w:val="21"/>
        </w:rPr>
        <w:t xml:space="preserve">  </w:t>
      </w:r>
      <w:r w:rsidR="00107892" w:rsidRPr="00481418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Pr="00481418">
        <w:rPr>
          <w:rFonts w:ascii="黑体" w:eastAsia="黑体" w:hAnsi="黑体"/>
          <w:bCs/>
          <w:kern w:val="0"/>
          <w:szCs w:val="21"/>
        </w:rPr>
        <w:t xml:space="preserve">  </w:t>
      </w:r>
      <w:r w:rsidR="00E85137" w:rsidRPr="00481418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Pr="00481418">
        <w:rPr>
          <w:rFonts w:ascii="黑体" w:eastAsia="黑体" w:hAnsi="黑体"/>
          <w:bCs/>
          <w:kern w:val="0"/>
          <w:szCs w:val="21"/>
        </w:rPr>
        <w:t xml:space="preserve">   公告编号：</w:t>
      </w:r>
      <w:r w:rsidR="00260090" w:rsidRPr="00481418">
        <w:rPr>
          <w:rFonts w:ascii="黑体" w:eastAsia="黑体" w:hAnsi="黑体"/>
          <w:bCs/>
          <w:kern w:val="0"/>
          <w:szCs w:val="21"/>
        </w:rPr>
        <w:t>2</w:t>
      </w:r>
      <w:r w:rsidR="006F3BB5" w:rsidRPr="00481418">
        <w:rPr>
          <w:rFonts w:ascii="黑体" w:eastAsia="黑体" w:hAnsi="黑体" w:hint="eastAsia"/>
          <w:bCs/>
          <w:kern w:val="0"/>
          <w:szCs w:val="21"/>
        </w:rPr>
        <w:t>021</w:t>
      </w:r>
      <w:r w:rsidR="00260090" w:rsidRPr="00481418">
        <w:rPr>
          <w:rFonts w:ascii="黑体" w:eastAsia="黑体" w:hAnsi="黑体" w:hint="eastAsia"/>
          <w:bCs/>
          <w:kern w:val="0"/>
          <w:szCs w:val="21"/>
        </w:rPr>
        <w:t>-</w:t>
      </w:r>
      <w:r w:rsidR="006F3BB5" w:rsidRPr="00481418">
        <w:rPr>
          <w:rFonts w:ascii="黑体" w:eastAsia="黑体" w:hAnsi="黑体" w:hint="eastAsia"/>
          <w:bCs/>
          <w:kern w:val="0"/>
          <w:szCs w:val="21"/>
        </w:rPr>
        <w:t>17</w:t>
      </w:r>
    </w:p>
    <w:p w:rsidR="006E6AFD" w:rsidRPr="00481418" w:rsidRDefault="006E6AFD" w:rsidP="000309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6E6AFD" w:rsidRPr="00481418" w:rsidRDefault="006E6AFD" w:rsidP="000309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481418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 w:rsidRPr="00481418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481418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481418" w:rsidRDefault="006E6AFD" w:rsidP="000309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481418">
        <w:rPr>
          <w:rFonts w:ascii="Times New Roman" w:hAnsi="Times New Roman"/>
          <w:b/>
          <w:kern w:val="0"/>
          <w:sz w:val="36"/>
          <w:szCs w:val="36"/>
        </w:rPr>
        <w:t>第</w:t>
      </w:r>
      <w:r w:rsidR="0079740D" w:rsidRPr="00481418">
        <w:rPr>
          <w:rFonts w:ascii="Times New Roman" w:hAnsi="Times New Roman" w:hint="eastAsia"/>
          <w:b/>
          <w:kern w:val="0"/>
          <w:sz w:val="36"/>
          <w:szCs w:val="36"/>
        </w:rPr>
        <w:t>七</w:t>
      </w:r>
      <w:r w:rsidRPr="00481418">
        <w:rPr>
          <w:rFonts w:ascii="Times New Roman" w:hAnsi="Times New Roman"/>
          <w:b/>
          <w:kern w:val="0"/>
          <w:sz w:val="36"/>
          <w:szCs w:val="36"/>
        </w:rPr>
        <w:t>届</w:t>
      </w:r>
      <w:r w:rsidR="00F70C8D" w:rsidRPr="00481418">
        <w:rPr>
          <w:rFonts w:ascii="Times New Roman" w:hAnsi="Times New Roman" w:hint="eastAsia"/>
          <w:b/>
          <w:kern w:val="0"/>
          <w:sz w:val="36"/>
          <w:szCs w:val="36"/>
        </w:rPr>
        <w:t>董</w:t>
      </w:r>
      <w:r w:rsidRPr="00481418">
        <w:rPr>
          <w:rFonts w:ascii="Times New Roman" w:hAnsi="Times New Roman"/>
          <w:b/>
          <w:kern w:val="0"/>
          <w:sz w:val="36"/>
          <w:szCs w:val="36"/>
        </w:rPr>
        <w:t>事会第</w:t>
      </w:r>
      <w:r w:rsidR="006F3BB5" w:rsidRPr="00481418">
        <w:rPr>
          <w:rFonts w:ascii="Times New Roman" w:hAnsi="Times New Roman" w:hint="eastAsia"/>
          <w:b/>
          <w:kern w:val="0"/>
          <w:sz w:val="36"/>
          <w:szCs w:val="36"/>
        </w:rPr>
        <w:t>七</w:t>
      </w:r>
      <w:r w:rsidRPr="00481418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6E6AFD" w:rsidRPr="00481418" w:rsidRDefault="006E6AFD" w:rsidP="00030938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6E6AFD" w:rsidRPr="00481418" w:rsidRDefault="006E6AFD" w:rsidP="00030938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481418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F70C8D" w:rsidRPr="00481418"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 w:rsidRPr="00481418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E85137" w:rsidRPr="00481418" w:rsidRDefault="00E85137" w:rsidP="00030938">
      <w:pPr>
        <w:wordWrap w:val="0"/>
        <w:spacing w:line="280" w:lineRule="exact"/>
        <w:ind w:firstLineChars="196" w:firstLine="39"/>
        <w:rPr>
          <w:rFonts w:asciiTheme="minorEastAsia" w:eastAsiaTheme="minorEastAsia" w:hAnsiTheme="minorEastAsia"/>
          <w:kern w:val="0"/>
          <w:sz w:val="2"/>
          <w:szCs w:val="24"/>
        </w:rPr>
      </w:pPr>
    </w:p>
    <w:p w:rsidR="006E6AFD" w:rsidRPr="00481418" w:rsidRDefault="006E6AFD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股份有限公司（以下简称“公司”）董事会于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79740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D872DE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15</w:t>
      </w:r>
      <w:r w:rsidR="0079740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日以传真、电子邮件及书面送达等方式发出了召开第七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届董事会第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七</w:t>
      </w:r>
      <w:r w:rsidR="00704E4B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次会议的通知，</w:t>
      </w:r>
      <w:r w:rsidR="00974A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F70C8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26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BA6BC2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上午</w:t>
      </w:r>
      <w:r w:rsidR="00704E4B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 w:rsidR="00704E4B" w:rsidRPr="00481418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481418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481418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481418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481418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481418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481418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</w:t>
      </w:r>
      <w:r w:rsidR="00523EE7" w:rsidRPr="00481418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视频</w:t>
      </w:r>
      <w:r w:rsidR="004F782E" w:rsidRPr="00481418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的</w:t>
      </w:r>
      <w:r w:rsidRPr="00481418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名，实际出席董事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名，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会议由公司董事长</w:t>
      </w:r>
      <w:r w:rsidR="0079740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孙伟挺先生主持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。公司全体监事、部分高级管理人员列席了会议，会议符合《公司法》、《公司章程》的规定。</w:t>
      </w:r>
      <w:r w:rsidR="00E8513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本次会议审议通过以下议案:</w:t>
      </w:r>
    </w:p>
    <w:p w:rsidR="00704E4B" w:rsidRPr="00481418" w:rsidRDefault="00704E4B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="00932963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票赞成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、0票反对、0票弃权的表决结果审议通过《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="00C019E6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年度报告全文及摘要</w:t>
      </w:r>
      <w:r w:rsidR="00073ED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C019E6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704E4B" w:rsidRPr="00481418" w:rsidRDefault="00704E4B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报告全文和摘要详见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1454C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4月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28</w:t>
      </w:r>
      <w:r w:rsidR="001454C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披露在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《证券时报》、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《中国证券报》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8" w:history="1">
        <w:r w:rsidRPr="00481418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http://www.cninfo.com.cn</w:t>
        </w:r>
      </w:hyperlink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上的相关公告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704E4B" w:rsidRPr="00481418" w:rsidRDefault="00704E4B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 w:rsidR="00932963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尚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="00984D7B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年度股东大会审议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A35185" w:rsidRPr="00481418" w:rsidRDefault="00A35185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二、</w:t>
      </w:r>
      <w:r w:rsidR="00932963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票赞成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、0票反对、0票弃权的表决结果审议通过《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C019E6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年度第一季度报告全文及正文</w:t>
      </w:r>
      <w:r w:rsidR="00073ED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C019E6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A35185" w:rsidRPr="00481418" w:rsidRDefault="006F3BB5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030938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第一季度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报告全文和正文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年4月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28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日披露在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《证券时报》、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《中国证券报》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9" w:history="1">
        <w:r w:rsidR="009F23F9" w:rsidRPr="00481418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http://www.cninfo.com.cn</w:t>
        </w:r>
      </w:hyperlink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)上的相关公告</w:t>
      </w:r>
      <w:r w:rsidR="00A3518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6E6AFD" w:rsidRPr="00481418" w:rsidRDefault="00A35185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三</w:t>
      </w:r>
      <w:r w:rsidR="00704E4B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以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票赞成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、0票反对、0票弃权的表决结果审议通过《</w:t>
      </w:r>
      <w:r w:rsidR="00757D85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757D8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年度董事会工作报告</w:t>
      </w:r>
      <w:r w:rsidR="00073ED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》</w:t>
      </w:r>
    </w:p>
    <w:p w:rsidR="006E6AFD" w:rsidRPr="00481418" w:rsidRDefault="006E6AFD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详见公司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年4月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28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日披露在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《证券时报》、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《中国证券报》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10" w:history="1">
        <w:r w:rsidR="009F23F9" w:rsidRPr="00481418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="009F23F9" w:rsidRPr="00481418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)的</w:t>
      </w:r>
      <w:r w:rsidR="009F23F9" w:rsidRPr="00481418">
        <w:rPr>
          <w:rFonts w:asciiTheme="minorEastAsia" w:eastAsiaTheme="minorEastAsia" w:hAnsiTheme="minorEastAsia"/>
          <w:kern w:val="0"/>
          <w:sz w:val="24"/>
          <w:szCs w:val="24"/>
        </w:rPr>
        <w:t>《</w:t>
      </w:r>
      <w:r w:rsidR="006F3BB5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6F3B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9F23F9" w:rsidRPr="00481418">
        <w:rPr>
          <w:rFonts w:asciiTheme="minorEastAsia" w:eastAsiaTheme="minorEastAsia" w:hAnsiTheme="minorEastAsia"/>
          <w:kern w:val="0"/>
          <w:sz w:val="24"/>
          <w:szCs w:val="24"/>
        </w:rPr>
        <w:t>年度董事会</w:t>
      </w:r>
      <w:r w:rsidR="00533D5E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工作</w:t>
      </w:r>
      <w:r w:rsidR="009F23F9" w:rsidRPr="00481418">
        <w:rPr>
          <w:rFonts w:asciiTheme="minorEastAsia" w:eastAsiaTheme="minorEastAsia" w:hAnsiTheme="minorEastAsia"/>
          <w:kern w:val="0"/>
          <w:sz w:val="24"/>
          <w:szCs w:val="24"/>
        </w:rPr>
        <w:t>报告》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。</w:t>
      </w:r>
    </w:p>
    <w:p w:rsidR="006E6AFD" w:rsidRPr="00481418" w:rsidRDefault="006E6AFD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bookmarkStart w:id="0" w:name="OLE_LINK3"/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独立董事</w:t>
      </w:r>
      <w:r w:rsidR="006F59D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陈卫滨先生、</w:t>
      </w:r>
      <w:r w:rsidR="00704E4B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孔祥云先生、</w:t>
      </w:r>
      <w:r w:rsidR="0079740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高卫东先生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向董事会提交了《</w:t>
      </w:r>
      <w:r w:rsidR="0098134C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98134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lastRenderedPageBreak/>
        <w:t>度独立董事述职报告》。报告全文详见</w:t>
      </w:r>
      <w:r w:rsidR="00260090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98134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21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1454C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4月</w:t>
      </w:r>
      <w:r w:rsidR="0098134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28</w:t>
      </w:r>
      <w:r w:rsidR="001454C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巨潮资讯网(</w:t>
      </w:r>
      <w:hyperlink r:id="rId11" w:history="1">
        <w:r w:rsidRPr="00481418">
          <w:rPr>
            <w:rFonts w:asciiTheme="minorEastAsia" w:eastAsiaTheme="minorEastAsia" w:hAnsiTheme="minorEastAsia"/>
            <w:sz w:val="24"/>
            <w:szCs w:val="24"/>
          </w:rPr>
          <w:t>http://www.cninfo.com.cn</w:t>
        </w:r>
      </w:hyperlink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)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bookmarkEnd w:id="0"/>
    <w:p w:rsidR="006E6AFD" w:rsidRPr="00481418" w:rsidRDefault="006E6AFD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本议案</w:t>
      </w:r>
      <w:r w:rsidR="00932963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尚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需提交公司</w:t>
      </w:r>
      <w:r w:rsidR="0098134C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98134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79740D" w:rsidRPr="00481418">
        <w:rPr>
          <w:rFonts w:asciiTheme="minorEastAsia" w:eastAsiaTheme="minorEastAsia" w:hAnsiTheme="minorEastAsia"/>
          <w:kern w:val="0"/>
          <w:sz w:val="24"/>
          <w:szCs w:val="24"/>
        </w:rPr>
        <w:t>年度股东大会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审议。</w:t>
      </w:r>
    </w:p>
    <w:p w:rsidR="006E6AFD" w:rsidRPr="00481418" w:rsidRDefault="00A35185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四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、以</w:t>
      </w:r>
      <w:r w:rsidR="0098134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票赞成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、0票反对、0票弃权的表决结果审议通过《</w:t>
      </w:r>
      <w:r w:rsidR="0098134C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98134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年度总裁工作报告</w:t>
      </w:r>
      <w:r w:rsidR="00073ED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》</w:t>
      </w:r>
    </w:p>
    <w:p w:rsidR="006E6AFD" w:rsidRPr="00481418" w:rsidRDefault="00A35185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五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、以</w:t>
      </w:r>
      <w:r w:rsidR="0098134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票赞成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、0票反对、0票弃权的表决结果审议通过《</w:t>
      </w:r>
      <w:r w:rsidR="0098134C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98134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年度财务决算报告</w:t>
      </w:r>
      <w:r w:rsidR="00073ED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》</w:t>
      </w:r>
    </w:p>
    <w:p w:rsidR="00663FE3" w:rsidRPr="000A59A0" w:rsidRDefault="00663FE3" w:rsidP="000A59A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59A0">
        <w:rPr>
          <w:rFonts w:asciiTheme="minorEastAsia" w:eastAsiaTheme="minorEastAsia" w:hAnsiTheme="minorEastAsia" w:hint="eastAsia"/>
          <w:kern w:val="0"/>
          <w:sz w:val="24"/>
          <w:szCs w:val="24"/>
        </w:rPr>
        <w:t>报告期内，经大华会计师事务所（特殊普通合伙）审计，公司实现营业收入</w:t>
      </w:r>
      <w:r w:rsidR="000A59A0" w:rsidRPr="000A59A0">
        <w:rPr>
          <w:rFonts w:asciiTheme="minorEastAsia" w:eastAsiaTheme="minorEastAsia" w:hAnsiTheme="minorEastAsia"/>
          <w:kern w:val="0"/>
          <w:sz w:val="24"/>
          <w:szCs w:val="24"/>
        </w:rPr>
        <w:t>14,231,727,949.61</w:t>
      </w:r>
      <w:r w:rsidRPr="000A59A0">
        <w:rPr>
          <w:rFonts w:asciiTheme="minorEastAsia" w:eastAsiaTheme="minorEastAsia" w:hAnsiTheme="minorEastAsia" w:hint="eastAsia"/>
          <w:kern w:val="0"/>
          <w:sz w:val="24"/>
          <w:szCs w:val="24"/>
        </w:rPr>
        <w:t>元，同比下降</w:t>
      </w:r>
      <w:r w:rsidRPr="000A59A0">
        <w:rPr>
          <w:rFonts w:asciiTheme="minorEastAsia" w:eastAsiaTheme="minorEastAsia" w:hAnsiTheme="minorEastAsia"/>
          <w:kern w:val="0"/>
          <w:sz w:val="24"/>
          <w:szCs w:val="24"/>
        </w:rPr>
        <w:t>10.42%</w:t>
      </w:r>
      <w:r w:rsidRPr="000A59A0">
        <w:rPr>
          <w:rFonts w:asciiTheme="minorEastAsia" w:eastAsiaTheme="minorEastAsia" w:hAnsiTheme="minorEastAsia" w:hint="eastAsia"/>
          <w:kern w:val="0"/>
          <w:sz w:val="24"/>
          <w:szCs w:val="24"/>
        </w:rPr>
        <w:t>；归属于上市公司股东的净利润</w:t>
      </w:r>
      <w:r w:rsidR="000A59A0" w:rsidRPr="000A59A0">
        <w:rPr>
          <w:rFonts w:asciiTheme="minorEastAsia" w:eastAsiaTheme="minorEastAsia" w:hAnsiTheme="minorEastAsia"/>
          <w:kern w:val="0"/>
          <w:sz w:val="24"/>
          <w:szCs w:val="24"/>
        </w:rPr>
        <w:t>-444,230,430.81</w:t>
      </w:r>
      <w:r w:rsidRPr="000A59A0">
        <w:rPr>
          <w:rFonts w:asciiTheme="minorEastAsia" w:eastAsiaTheme="minorEastAsia" w:hAnsiTheme="minorEastAsia" w:hint="eastAsia"/>
          <w:kern w:val="0"/>
          <w:sz w:val="24"/>
          <w:szCs w:val="24"/>
        </w:rPr>
        <w:t>元，同比下降</w:t>
      </w:r>
      <w:r w:rsidR="000A59A0" w:rsidRPr="000A59A0">
        <w:rPr>
          <w:rFonts w:asciiTheme="minorEastAsia" w:eastAsiaTheme="minorEastAsia" w:hAnsiTheme="minorEastAsia"/>
          <w:kern w:val="0"/>
          <w:sz w:val="24"/>
          <w:szCs w:val="24"/>
        </w:rPr>
        <w:t>-210.42%</w:t>
      </w:r>
      <w:r w:rsidRPr="000A59A0">
        <w:rPr>
          <w:rFonts w:asciiTheme="minorEastAsia" w:eastAsiaTheme="minorEastAsia" w:hAnsiTheme="minorEastAsia" w:hint="eastAsia"/>
          <w:kern w:val="0"/>
          <w:sz w:val="24"/>
          <w:szCs w:val="24"/>
        </w:rPr>
        <w:t>；基本每股收益</w:t>
      </w:r>
      <w:r w:rsidR="000A59A0" w:rsidRPr="000A59A0">
        <w:rPr>
          <w:rFonts w:asciiTheme="minorEastAsia" w:eastAsiaTheme="minorEastAsia" w:hAnsiTheme="minorEastAsia"/>
          <w:kern w:val="0"/>
          <w:sz w:val="24"/>
          <w:szCs w:val="24"/>
        </w:rPr>
        <w:t>-0.3</w:t>
      </w:r>
      <w:r w:rsidR="000A59A0" w:rsidRPr="000A59A0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Pr="000A59A0">
        <w:rPr>
          <w:rFonts w:asciiTheme="minorEastAsia" w:eastAsiaTheme="minorEastAsia" w:hAnsiTheme="minorEastAsia" w:hint="eastAsia"/>
          <w:kern w:val="0"/>
          <w:sz w:val="24"/>
          <w:szCs w:val="24"/>
        </w:rPr>
        <w:t>元/股，同比下降</w:t>
      </w:r>
      <w:r w:rsidR="000A59A0" w:rsidRPr="000A59A0">
        <w:rPr>
          <w:rFonts w:asciiTheme="minorEastAsia" w:eastAsiaTheme="minorEastAsia" w:hAnsiTheme="minorEastAsia"/>
          <w:kern w:val="0"/>
          <w:sz w:val="24"/>
          <w:szCs w:val="24"/>
        </w:rPr>
        <w:t>-214.81%</w:t>
      </w:r>
      <w:r w:rsidRPr="000A59A0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663FE3" w:rsidRPr="00481418" w:rsidRDefault="00663FE3" w:rsidP="000A59A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2020年度，经大华会计师事务所（特殊普通合伙）审计，公司实现合并净利润为</w:t>
      </w:r>
      <w:r w:rsidR="000A59A0" w:rsidRPr="000A59A0">
        <w:rPr>
          <w:rFonts w:asciiTheme="minorEastAsia" w:eastAsiaTheme="minorEastAsia" w:hAnsiTheme="minorEastAsia"/>
          <w:kern w:val="0"/>
          <w:sz w:val="24"/>
          <w:szCs w:val="24"/>
        </w:rPr>
        <w:t>-470,061,590.98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元，其中归属母公司股东的净利润</w:t>
      </w:r>
      <w:r w:rsidR="000A59A0" w:rsidRPr="000A59A0">
        <w:rPr>
          <w:rFonts w:asciiTheme="minorEastAsia" w:eastAsiaTheme="minorEastAsia" w:hAnsiTheme="minorEastAsia"/>
          <w:kern w:val="0"/>
          <w:sz w:val="24"/>
          <w:szCs w:val="24"/>
        </w:rPr>
        <w:t>-444,230,430.81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元；累计未分配利润为</w:t>
      </w:r>
      <w:r w:rsidR="000A59A0" w:rsidRPr="000A59A0">
        <w:rPr>
          <w:rFonts w:asciiTheme="minorEastAsia" w:eastAsiaTheme="minorEastAsia" w:hAnsiTheme="minorEastAsia"/>
          <w:kern w:val="0"/>
          <w:sz w:val="24"/>
          <w:szCs w:val="24"/>
        </w:rPr>
        <w:t>2,093,844,730.70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元；资本公积余额为</w:t>
      </w:r>
      <w:r w:rsidR="000A59A0" w:rsidRPr="000A59A0">
        <w:rPr>
          <w:rFonts w:asciiTheme="minorEastAsia" w:eastAsiaTheme="minorEastAsia" w:hAnsiTheme="minorEastAsia"/>
          <w:kern w:val="0"/>
          <w:sz w:val="24"/>
          <w:szCs w:val="24"/>
        </w:rPr>
        <w:t>2,408,433,715.29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元；母公司累计可供分配利润</w:t>
      </w:r>
      <w:r w:rsidR="000A59A0" w:rsidRPr="000A59A0">
        <w:rPr>
          <w:rFonts w:asciiTheme="minorEastAsia" w:eastAsiaTheme="minorEastAsia" w:hAnsiTheme="minorEastAsia"/>
          <w:kern w:val="0"/>
          <w:sz w:val="24"/>
          <w:szCs w:val="24"/>
        </w:rPr>
        <w:t>195,292,400.03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元。</w:t>
      </w:r>
    </w:p>
    <w:p w:rsidR="00663FE3" w:rsidRPr="000A59A0" w:rsidRDefault="00663FE3" w:rsidP="000A59A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A59A0">
        <w:rPr>
          <w:rFonts w:asciiTheme="minorEastAsia" w:eastAsiaTheme="minorEastAsia" w:hAnsiTheme="minorEastAsia" w:hint="eastAsia"/>
          <w:kern w:val="0"/>
          <w:sz w:val="24"/>
          <w:szCs w:val="24"/>
        </w:rPr>
        <w:t>截至2020年12月31日，公司总资产同比减少</w:t>
      </w:r>
      <w:r w:rsidR="000A59A0">
        <w:rPr>
          <w:rFonts w:asciiTheme="minorEastAsia" w:eastAsiaTheme="minorEastAsia" w:hAnsiTheme="minorEastAsia"/>
          <w:kern w:val="0"/>
          <w:sz w:val="24"/>
          <w:szCs w:val="24"/>
        </w:rPr>
        <w:t>3.</w:t>
      </w:r>
      <w:r w:rsidR="000A59A0">
        <w:rPr>
          <w:rFonts w:asciiTheme="minorEastAsia" w:eastAsiaTheme="minorEastAsia" w:hAnsiTheme="minorEastAsia" w:hint="eastAsia"/>
          <w:kern w:val="0"/>
          <w:sz w:val="24"/>
          <w:szCs w:val="24"/>
        </w:rPr>
        <w:t>96</w:t>
      </w:r>
      <w:r w:rsidR="00A137E7" w:rsidRPr="000A59A0">
        <w:rPr>
          <w:rFonts w:asciiTheme="minorEastAsia" w:eastAsiaTheme="minorEastAsia" w:hAnsiTheme="minorEastAsia"/>
          <w:kern w:val="0"/>
          <w:sz w:val="24"/>
          <w:szCs w:val="24"/>
        </w:rPr>
        <w:t>%</w:t>
      </w:r>
      <w:r w:rsidRPr="000A59A0">
        <w:rPr>
          <w:rFonts w:asciiTheme="minorEastAsia" w:eastAsiaTheme="minorEastAsia" w:hAnsiTheme="minorEastAsia" w:hint="eastAsia"/>
          <w:kern w:val="0"/>
          <w:sz w:val="24"/>
          <w:szCs w:val="24"/>
        </w:rPr>
        <w:t>，归属于上市公司股东的所有者权益同比减少</w:t>
      </w:r>
      <w:r w:rsidR="000A59A0">
        <w:rPr>
          <w:rFonts w:asciiTheme="minorEastAsia" w:eastAsiaTheme="minorEastAsia" w:hAnsiTheme="minorEastAsia"/>
          <w:kern w:val="0"/>
          <w:sz w:val="24"/>
          <w:szCs w:val="24"/>
        </w:rPr>
        <w:t>10.</w:t>
      </w:r>
      <w:r w:rsidR="000A59A0">
        <w:rPr>
          <w:rFonts w:asciiTheme="minorEastAsia" w:eastAsiaTheme="minorEastAsia" w:hAnsiTheme="minorEastAsia" w:hint="eastAsia"/>
          <w:kern w:val="0"/>
          <w:sz w:val="24"/>
          <w:szCs w:val="24"/>
        </w:rPr>
        <w:t>77</w:t>
      </w:r>
      <w:r w:rsidR="00A137E7" w:rsidRPr="000A59A0">
        <w:rPr>
          <w:rFonts w:asciiTheme="minorEastAsia" w:eastAsiaTheme="minorEastAsia" w:hAnsiTheme="minorEastAsia"/>
          <w:kern w:val="0"/>
          <w:sz w:val="24"/>
          <w:szCs w:val="24"/>
        </w:rPr>
        <w:t>%</w:t>
      </w:r>
      <w:r w:rsidRPr="000A59A0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6E6AFD" w:rsidRPr="00481418" w:rsidRDefault="006E6AFD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本议案</w:t>
      </w:r>
      <w:r w:rsidR="00932963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尚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需提交公司20</w:t>
      </w:r>
      <w:r w:rsidR="0098134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74750C" w:rsidRPr="00481418">
        <w:rPr>
          <w:rFonts w:asciiTheme="minorEastAsia" w:eastAsiaTheme="minorEastAsia" w:hAnsiTheme="minorEastAsia"/>
          <w:kern w:val="0"/>
          <w:sz w:val="24"/>
          <w:szCs w:val="24"/>
        </w:rPr>
        <w:t>年度股东大会审议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6E6AFD" w:rsidRPr="00481418" w:rsidRDefault="006E6AFD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六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98134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票赞成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、0票反对、0</w:t>
      </w:r>
      <w:r w:rsidR="00073ED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</w:t>
      </w:r>
      <w:r w:rsidR="0098134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年利润分配预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案</w:t>
      </w:r>
      <w:r w:rsidR="00073ED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98134C" w:rsidRPr="00481418" w:rsidRDefault="0098134C" w:rsidP="0098134C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公司2020</w:t>
      </w:r>
      <w:r w:rsidR="0065306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年实现归属于上市公司股东的净利润为亏损状态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，结合公司经营发展实际情况，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为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保障公司正常生产经营和稳定发展，增强抵御风险的能力。考虑公司长远发展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战略和短期经营情况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，公司2020年度拟不派发现金红利，不送红股，不以资本公积金转增股本。</w:t>
      </w:r>
    </w:p>
    <w:p w:rsidR="0098134C" w:rsidRPr="00481418" w:rsidRDefault="0098134C" w:rsidP="0098134C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公司本次利润分配预案符合《公司法》、中国证监会《上市公司监管指引第3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号—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上市公司现金分红》、《公司章程》的有关规定，符合公司分红政策和发展情况。独立董事对该事项发表了</w:t>
      </w:r>
      <w:r w:rsidR="00757D8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事前认可意见</w:t>
      </w:r>
      <w:proofErr w:type="gramStart"/>
      <w:r w:rsidR="00757D8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同意</w:t>
      </w:r>
      <w:proofErr w:type="gramEnd"/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的独立意见。详见</w:t>
      </w:r>
      <w:r w:rsidR="00757D8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与本公</w:t>
      </w:r>
      <w:r w:rsidR="00757D8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告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同日披露于巨潮资讯网（</w:t>
      </w:r>
      <w:proofErr w:type="spellStart"/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www.cninfo.com.cn</w:t>
      </w:r>
      <w:proofErr w:type="spellEnd"/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）的《独立董事关于第七届董事会第七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次会议相关事项的独立意见》。</w:t>
      </w:r>
    </w:p>
    <w:p w:rsidR="002D792A" w:rsidRPr="00481418" w:rsidRDefault="002D792A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七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、以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票赞成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、0票反对、0票弃权的表决结果审议通过《</w:t>
      </w:r>
      <w:r w:rsidR="00E7656F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年度内部控制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自我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评价报告</w:t>
      </w:r>
      <w:r w:rsidR="00073ED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》</w:t>
      </w:r>
    </w:p>
    <w:p w:rsidR="002D792A" w:rsidRPr="00481418" w:rsidRDefault="002D792A" w:rsidP="00E7656F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报告全文详见</w:t>
      </w:r>
      <w:r w:rsidR="004177B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="00260090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21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4月2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4177B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披露于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巨潮资讯网(</w:t>
      </w:r>
      <w:hyperlink r:id="rId12" w:history="1">
        <w:r w:rsidRPr="00481418">
          <w:rPr>
            <w:rFonts w:asciiTheme="minorEastAsia" w:eastAsiaTheme="minorEastAsia" w:hAnsiTheme="minorEastAsia"/>
            <w:sz w:val="24"/>
            <w:szCs w:val="24"/>
          </w:rPr>
          <w:t>http://</w:t>
        </w:r>
        <w:proofErr w:type="spellStart"/>
        <w:r w:rsidRPr="00481418">
          <w:rPr>
            <w:rFonts w:asciiTheme="minorEastAsia" w:eastAsiaTheme="minorEastAsia" w:hAnsiTheme="minorEastAsia"/>
            <w:sz w:val="24"/>
            <w:szCs w:val="24"/>
          </w:rPr>
          <w:t>www.cninfo.com.cn</w:t>
        </w:r>
        <w:proofErr w:type="spellEnd"/>
      </w:hyperlink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)</w:t>
      </w:r>
      <w:r w:rsidR="004177B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上的《</w:t>
      </w:r>
      <w:r w:rsidR="00E7656F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4177B7" w:rsidRPr="00481418">
        <w:rPr>
          <w:rFonts w:asciiTheme="minorEastAsia" w:eastAsiaTheme="minorEastAsia" w:hAnsiTheme="minorEastAsia"/>
          <w:kern w:val="0"/>
          <w:sz w:val="24"/>
          <w:szCs w:val="24"/>
        </w:rPr>
        <w:t>年度内部控制评价报告</w:t>
      </w:r>
      <w:r w:rsidR="004177B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2D792A" w:rsidRPr="00481418" w:rsidRDefault="003D6B08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本议案已经公司独立董事发表明确同意意见,</w:t>
      </w:r>
      <w:r w:rsidR="002D792A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本议案尚需提交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="0079740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年度股东大会</w:t>
      </w:r>
      <w:r w:rsidR="002D792A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审议。</w:t>
      </w:r>
    </w:p>
    <w:p w:rsidR="006E6AFD" w:rsidRPr="00481418" w:rsidRDefault="002D792A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八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="006E6AF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票赞成</w:t>
      </w:r>
      <w:r w:rsidR="006E6AF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、0票反对、0票弃权的表决结果审议通过《关于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年社会责任报告的议案》</w:t>
      </w:r>
    </w:p>
    <w:p w:rsidR="006E6AFD" w:rsidRPr="00481418" w:rsidRDefault="009F23F9" w:rsidP="00E7656F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报告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全文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详</w:t>
      </w:r>
      <w:r w:rsidR="006E6AFD" w:rsidRPr="00481418">
        <w:rPr>
          <w:rFonts w:asciiTheme="minorEastAsia" w:eastAsiaTheme="minorEastAsia" w:hAnsiTheme="minorEastAsia"/>
          <w:kern w:val="0"/>
          <w:sz w:val="24"/>
          <w:szCs w:val="24"/>
        </w:rPr>
        <w:t>见</w:t>
      </w:r>
      <w:r w:rsidR="004177B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6E6AF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1454C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4月</w:t>
      </w:r>
      <w:r w:rsidR="002D792A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="001454C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4177B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披露于</w:t>
      </w:r>
      <w:r w:rsidR="006E6AF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13" w:history="1">
        <w:r w:rsidR="006E6AFD" w:rsidRPr="00481418">
          <w:rPr>
            <w:rFonts w:asciiTheme="minorEastAsia" w:eastAsiaTheme="minorEastAsia" w:hAnsiTheme="minorEastAsia" w:hint="eastAsia"/>
            <w:sz w:val="24"/>
            <w:szCs w:val="24"/>
          </w:rPr>
          <w:t>http://</w:t>
        </w:r>
        <w:proofErr w:type="spellStart"/>
        <w:r w:rsidR="006E6AFD" w:rsidRPr="00481418">
          <w:rPr>
            <w:rFonts w:asciiTheme="minorEastAsia" w:eastAsiaTheme="minorEastAsia" w:hAnsiTheme="minorEastAsia" w:hint="eastAsia"/>
            <w:sz w:val="24"/>
            <w:szCs w:val="24"/>
          </w:rPr>
          <w:t>www.cninfo.com.cn</w:t>
        </w:r>
        <w:proofErr w:type="spellEnd"/>
      </w:hyperlink>
      <w:r w:rsidR="006E6AF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 w:rsidR="004177B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上的《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="004177B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年社会责任报告》</w:t>
      </w:r>
      <w:r w:rsidR="006E6AF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984D7B" w:rsidRPr="00481418" w:rsidRDefault="00984D7B" w:rsidP="00E7656F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本议案</w:t>
      </w:r>
      <w:r w:rsidR="00932963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尚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需提交公司</w:t>
      </w:r>
      <w:r w:rsidR="00E7656F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79740D" w:rsidRPr="00481418">
        <w:rPr>
          <w:rFonts w:asciiTheme="minorEastAsia" w:eastAsiaTheme="minorEastAsia" w:hAnsiTheme="minorEastAsia"/>
          <w:kern w:val="0"/>
          <w:sz w:val="24"/>
          <w:szCs w:val="24"/>
        </w:rPr>
        <w:t>年度股东大会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审议。</w:t>
      </w:r>
    </w:p>
    <w:p w:rsidR="00F96CE1" w:rsidRPr="00481418" w:rsidRDefault="002D792A" w:rsidP="00E7656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九</w:t>
      </w:r>
      <w:r w:rsidR="004F40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F96C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481418">
        <w:rPr>
          <w:rFonts w:asciiTheme="minorEastAsia" w:eastAsiaTheme="minorEastAsia" w:hAnsiTheme="minorEastAsia"/>
          <w:kern w:val="0"/>
          <w:sz w:val="24"/>
          <w:szCs w:val="24"/>
        </w:rPr>
        <w:t>票赞成</w:t>
      </w:r>
      <w:r w:rsidR="00F96C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F96CE1" w:rsidRPr="00481418"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 w:rsidR="00F96C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="00F96CE1" w:rsidRPr="00481418"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 w:rsidR="00F96C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表决结果审议通过《</w:t>
      </w:r>
      <w:r w:rsidR="00513CD5" w:rsidRPr="00481418">
        <w:rPr>
          <w:rFonts w:asciiTheme="minorEastAsia" w:eastAsiaTheme="minorEastAsia" w:hAnsiTheme="minorEastAsia" w:hint="eastAsia"/>
          <w:sz w:val="24"/>
          <w:szCs w:val="24"/>
        </w:rPr>
        <w:t>关于2021</w:t>
      </w:r>
      <w:r w:rsidR="00DE734B" w:rsidRPr="00481418">
        <w:rPr>
          <w:rFonts w:asciiTheme="minorEastAsia" w:eastAsiaTheme="minorEastAsia" w:hAnsiTheme="minorEastAsia" w:hint="eastAsia"/>
          <w:sz w:val="24"/>
          <w:szCs w:val="24"/>
        </w:rPr>
        <w:t>年使用自有资金进行投资理财的议案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F96CE1" w:rsidRPr="00481418" w:rsidRDefault="00F96CE1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详</w:t>
      </w:r>
      <w:r w:rsidR="00D1279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情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见</w:t>
      </w:r>
      <w:r w:rsidR="00932963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260090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21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1454C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4月</w:t>
      </w:r>
      <w:r w:rsidR="000F31D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="001454C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刊登于《证券时报》、《中国证券报》和巨潮资讯网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hyperlink r:id="rId14" w:history="1">
        <w:r w:rsidRPr="00481418">
          <w:rPr>
            <w:rFonts w:asciiTheme="minorEastAsia" w:eastAsiaTheme="minorEastAsia" w:hAnsiTheme="minorEastAsia"/>
            <w:sz w:val="24"/>
            <w:szCs w:val="24"/>
          </w:rPr>
          <w:t>http://</w:t>
        </w:r>
        <w:proofErr w:type="spellStart"/>
        <w:r w:rsidRPr="00481418">
          <w:rPr>
            <w:rFonts w:asciiTheme="minorEastAsia" w:eastAsiaTheme="minorEastAsia" w:hAnsiTheme="minorEastAsia"/>
            <w:sz w:val="24"/>
            <w:szCs w:val="24"/>
          </w:rPr>
          <w:t>www.cninfo.com.cn</w:t>
        </w:r>
        <w:proofErr w:type="spellEnd"/>
      </w:hyperlink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)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上的《</w:t>
      </w:r>
      <w:r w:rsidR="00DE734B" w:rsidRPr="00481418">
        <w:rPr>
          <w:rFonts w:ascii="宋体" w:hAnsi="宋体" w:hint="eastAsia"/>
          <w:sz w:val="24"/>
          <w:szCs w:val="24"/>
        </w:rPr>
        <w:t>关于2021</w:t>
      </w:r>
      <w:r w:rsidR="00DE734B" w:rsidRPr="00481418">
        <w:rPr>
          <w:rFonts w:ascii="宋体" w:hAnsi="宋体" w:hint="eastAsia"/>
          <w:sz w:val="24"/>
        </w:rPr>
        <w:t>年使用自有资金进行投资理财的公告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》。</w:t>
      </w:r>
    </w:p>
    <w:p w:rsidR="00F96CE1" w:rsidRPr="00481418" w:rsidRDefault="003D6B08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本议案已经公司独立董事发表明确同意意见,</w:t>
      </w:r>
      <w:r w:rsidR="00F96C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尚</w:t>
      </w:r>
      <w:r w:rsidR="00F96C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</w:t>
      </w:r>
      <w:r w:rsidR="00E7656F" w:rsidRPr="00481418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E7656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020</w:t>
      </w:r>
      <w:r w:rsidR="0079740D" w:rsidRPr="00481418">
        <w:rPr>
          <w:rFonts w:asciiTheme="minorEastAsia" w:eastAsiaTheme="minorEastAsia" w:hAnsiTheme="minorEastAsia"/>
          <w:kern w:val="0"/>
          <w:sz w:val="24"/>
          <w:szCs w:val="24"/>
        </w:rPr>
        <w:t>年度股东大会</w:t>
      </w:r>
      <w:r w:rsidR="00984D7B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审议</w:t>
      </w:r>
      <w:r w:rsidR="00F96C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F96CE1" w:rsidRPr="00481418" w:rsidRDefault="00E7656F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十</w:t>
      </w:r>
      <w:r w:rsidR="004F40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F96C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481418">
        <w:rPr>
          <w:rFonts w:asciiTheme="minorEastAsia" w:eastAsiaTheme="minorEastAsia" w:hAnsiTheme="minorEastAsia"/>
          <w:kern w:val="0"/>
          <w:sz w:val="24"/>
          <w:szCs w:val="24"/>
        </w:rPr>
        <w:t>票赞成</w:t>
      </w:r>
      <w:r w:rsidR="00F96C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F96CE1" w:rsidRPr="00481418">
        <w:rPr>
          <w:rFonts w:asciiTheme="minorEastAsia" w:eastAsiaTheme="minorEastAsia" w:hAnsiTheme="minorEastAsia"/>
          <w:kern w:val="0"/>
          <w:sz w:val="24"/>
          <w:szCs w:val="24"/>
        </w:rPr>
        <w:t xml:space="preserve">0 </w:t>
      </w:r>
      <w:r w:rsidR="00F96C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="00F96CE1" w:rsidRPr="00481418">
        <w:rPr>
          <w:rFonts w:asciiTheme="minorEastAsia" w:eastAsiaTheme="minorEastAsia" w:hAnsiTheme="minorEastAsia"/>
          <w:kern w:val="0"/>
          <w:sz w:val="24"/>
          <w:szCs w:val="24"/>
        </w:rPr>
        <w:t xml:space="preserve">0 </w:t>
      </w:r>
      <w:r w:rsidR="00F96C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</w:t>
      </w:r>
      <w:r w:rsidR="008720A2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预计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8720A2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年度参与期货套期保值交易事项的议案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D12795" w:rsidRPr="00481418" w:rsidRDefault="00D12795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详情见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260090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21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1454C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4月</w:t>
      </w:r>
      <w:r w:rsidR="000F31D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="001454C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刊登于《证券时报》、《中国证券报》和巨潮资讯网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hyperlink r:id="rId15" w:history="1">
        <w:r w:rsidRPr="00481418">
          <w:rPr>
            <w:rStyle w:val="a3"/>
            <w:rFonts w:asciiTheme="minorEastAsia" w:eastAsiaTheme="minorEastAsia" w:hAnsiTheme="minor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481418">
          <w:rPr>
            <w:rStyle w:val="a3"/>
            <w:rFonts w:asciiTheme="minorEastAsia" w:eastAsiaTheme="minorEastAsia" w:hAnsiTheme="minor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  <w:r w:rsidRPr="00481418">
          <w:rPr>
            <w:rStyle w:val="a3"/>
            <w:rFonts w:asciiTheme="minorEastAsia" w:eastAsiaTheme="minorEastAsia" w:hAnsiTheme="minorEastAsia"/>
            <w:color w:val="auto"/>
            <w:kern w:val="0"/>
            <w:sz w:val="24"/>
            <w:szCs w:val="24"/>
            <w:u w:val="none"/>
          </w:rPr>
          <w:t>)</w:t>
        </w:r>
        <w:r w:rsidRPr="00481418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上的《关于预计20</w:t>
        </w:r>
        <w:r w:rsidR="007E2872" w:rsidRPr="00481418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2</w:t>
        </w:r>
        <w:r w:rsidR="00C60F60" w:rsidRPr="00481418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1</w:t>
        </w:r>
      </w:hyperlink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年度期货套期保值交易事项的公告》。</w:t>
      </w:r>
    </w:p>
    <w:p w:rsidR="00F96CE1" w:rsidRPr="00481418" w:rsidRDefault="003D6B08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本议案已经公司独立董事发表明确同意意见</w:t>
      </w:r>
      <w:r w:rsidR="00F96C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D12795" w:rsidRPr="00481418" w:rsidRDefault="00C60F60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十一</w:t>
      </w:r>
      <w:r w:rsidR="004F40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D1279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481418">
        <w:rPr>
          <w:rFonts w:asciiTheme="minorEastAsia" w:eastAsiaTheme="minorEastAsia" w:hAnsiTheme="minorEastAsia"/>
          <w:kern w:val="0"/>
          <w:sz w:val="24"/>
          <w:szCs w:val="24"/>
        </w:rPr>
        <w:t>票赞成</w:t>
      </w:r>
      <w:r w:rsidR="00D1279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D12795" w:rsidRPr="00481418">
        <w:rPr>
          <w:rFonts w:asciiTheme="minorEastAsia" w:eastAsiaTheme="minorEastAsia" w:hAnsiTheme="minorEastAsia"/>
          <w:kern w:val="0"/>
          <w:sz w:val="24"/>
          <w:szCs w:val="24"/>
        </w:rPr>
        <w:t xml:space="preserve">0 </w:t>
      </w:r>
      <w:r w:rsidR="00D1279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="00D12795" w:rsidRPr="00481418">
        <w:rPr>
          <w:rFonts w:asciiTheme="minorEastAsia" w:eastAsiaTheme="minorEastAsia" w:hAnsiTheme="minorEastAsia"/>
          <w:kern w:val="0"/>
          <w:sz w:val="24"/>
          <w:szCs w:val="24"/>
        </w:rPr>
        <w:t xml:space="preserve">0 </w:t>
      </w:r>
      <w:r w:rsidR="00D1279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票弃权的表决结果审议通过《关于预计</w:t>
      </w:r>
      <w:r w:rsidR="007E2872" w:rsidRPr="00481418">
        <w:rPr>
          <w:rFonts w:asciiTheme="minorEastAsia" w:eastAsiaTheme="minorEastAsia" w:hAnsiTheme="minorEastAsia"/>
          <w:kern w:val="0"/>
          <w:sz w:val="24"/>
          <w:szCs w:val="24"/>
        </w:rPr>
        <w:lastRenderedPageBreak/>
        <w:t>20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21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年度申请银行授信额度及借款的议案》</w:t>
      </w:r>
    </w:p>
    <w:p w:rsidR="00D12795" w:rsidRPr="00481418" w:rsidRDefault="00D12795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根据公司持续生产经营与技术改造项目的需要，预计公司</w:t>
      </w:r>
      <w:r w:rsidR="00962675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21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年需向银行申请综合授信额度不超过人民币</w:t>
      </w:r>
      <w:r w:rsidR="0069717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11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亿元，</w:t>
      </w:r>
      <w:r w:rsidR="00D0411A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主要包括流动资金贷款、贸易融资（开具银行承兑汇票/信用证，发票融资，上</w:t>
      </w:r>
      <w:proofErr w:type="gramStart"/>
      <w:r w:rsidR="00D0411A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下游保理/反保理</w:t>
      </w:r>
      <w:proofErr w:type="gramEnd"/>
      <w:r w:rsidR="00D0411A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），供应链融资，票据贴现等形式的融资。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为确保资金需求，董事会拟提请股东大会授权公司董事长和总裁在授信额度内申</w:t>
      </w:r>
      <w:r w:rsidR="00513CD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请授信事宜，并同意其在借款行或新增银行间可以调剂使用，授权期限自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="00962675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513CD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20年度股东大会审议通告该事项之日起12个月内有效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D12795" w:rsidRPr="00481418" w:rsidRDefault="003D6B08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本议案已经公司独立董事发表明确同意意见,</w:t>
      </w:r>
      <w:r w:rsidR="00D1279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 w:rsidR="00932963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尚</w:t>
      </w:r>
      <w:r w:rsidR="00D1279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</w:t>
      </w:r>
      <w:r w:rsidR="0079740D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79740D" w:rsidRPr="00481418">
        <w:rPr>
          <w:rFonts w:asciiTheme="minorEastAsia" w:eastAsiaTheme="minorEastAsia" w:hAnsiTheme="minorEastAsia"/>
          <w:kern w:val="0"/>
          <w:sz w:val="24"/>
          <w:szCs w:val="24"/>
        </w:rPr>
        <w:t>年度股东大会</w:t>
      </w:r>
      <w:r w:rsidR="00984D7B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审议</w:t>
      </w:r>
      <w:r w:rsidR="00D1279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D12795" w:rsidRPr="00481418" w:rsidRDefault="000F31DF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十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 w:rsidR="004F40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D1279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481418">
        <w:rPr>
          <w:rFonts w:asciiTheme="minorEastAsia" w:eastAsiaTheme="minorEastAsia" w:hAnsiTheme="minorEastAsia"/>
          <w:kern w:val="0"/>
          <w:sz w:val="24"/>
          <w:szCs w:val="24"/>
        </w:rPr>
        <w:t>票赞成</w:t>
      </w:r>
      <w:r w:rsidR="00D1279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D12795" w:rsidRPr="00481418">
        <w:rPr>
          <w:rFonts w:asciiTheme="minorEastAsia" w:eastAsiaTheme="minorEastAsia" w:hAnsiTheme="minorEastAsia"/>
          <w:kern w:val="0"/>
          <w:sz w:val="24"/>
          <w:szCs w:val="24"/>
        </w:rPr>
        <w:t xml:space="preserve">0 </w:t>
      </w:r>
      <w:r w:rsidR="00D1279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="00D12795" w:rsidRPr="00481418">
        <w:rPr>
          <w:rFonts w:asciiTheme="minorEastAsia" w:eastAsiaTheme="minorEastAsia" w:hAnsiTheme="minorEastAsia"/>
          <w:kern w:val="0"/>
          <w:sz w:val="24"/>
          <w:szCs w:val="24"/>
        </w:rPr>
        <w:t xml:space="preserve">0 </w:t>
      </w:r>
      <w:r w:rsidR="00D1279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票弃权的表决结果审议通过《关于预计</w:t>
      </w:r>
      <w:r w:rsidR="007E2872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21</w:t>
      </w:r>
      <w:r w:rsidR="00D1279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年度</w:t>
      </w:r>
      <w:r w:rsidR="00D70B6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为子公司提供担保的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议案》</w:t>
      </w:r>
    </w:p>
    <w:p w:rsidR="00D12795" w:rsidRPr="00481418" w:rsidRDefault="00D12795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详情见</w:t>
      </w:r>
      <w:r w:rsidR="009F23F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7E2872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21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1454C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4月</w:t>
      </w:r>
      <w:r w:rsidR="00BB3F3F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="001454C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刊登于《证券时报》、《中国证券报》和巨潮资讯网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r w:rsidRPr="00481418">
        <w:rPr>
          <w:rStyle w:val="a3"/>
          <w:rFonts w:asciiTheme="minorEastAsia" w:eastAsiaTheme="minorEastAsia" w:hAnsiTheme="minorEastAsia"/>
          <w:color w:val="auto"/>
          <w:kern w:val="0"/>
          <w:sz w:val="24"/>
          <w:szCs w:val="24"/>
          <w:u w:val="none"/>
        </w:rPr>
        <w:t>http://</w:t>
      </w:r>
      <w:proofErr w:type="spellStart"/>
      <w:r w:rsidRPr="00481418">
        <w:rPr>
          <w:rStyle w:val="a3"/>
          <w:rFonts w:asciiTheme="minorEastAsia" w:eastAsiaTheme="minorEastAsia" w:hAnsiTheme="minorEastAsia"/>
          <w:color w:val="auto"/>
          <w:kern w:val="0"/>
          <w:sz w:val="24"/>
          <w:szCs w:val="24"/>
          <w:u w:val="none"/>
        </w:rPr>
        <w:t>www.cninfo.com.cn</w:t>
      </w:r>
      <w:proofErr w:type="spellEnd"/>
      <w:r w:rsidRPr="00481418">
        <w:rPr>
          <w:rStyle w:val="a3"/>
          <w:rFonts w:asciiTheme="minorEastAsia" w:eastAsiaTheme="minorEastAsia" w:hAnsiTheme="minorEastAsia"/>
          <w:color w:val="auto"/>
          <w:kern w:val="0"/>
          <w:sz w:val="24"/>
          <w:szCs w:val="24"/>
          <w:u w:val="none"/>
        </w:rPr>
        <w:t>)</w:t>
      </w:r>
      <w:r w:rsidRPr="00481418">
        <w:rPr>
          <w:rStyle w:val="a3"/>
          <w:rFonts w:asciiTheme="minorEastAsia" w:eastAsiaTheme="minorEastAsia" w:hAnsiTheme="minorEastAsia" w:hint="eastAsia"/>
          <w:color w:val="auto"/>
          <w:kern w:val="0"/>
          <w:sz w:val="24"/>
          <w:szCs w:val="24"/>
          <w:u w:val="none"/>
        </w:rPr>
        <w:t>上的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《关于预计</w:t>
      </w:r>
      <w:r w:rsidR="007E2872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7C0D39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21</w:t>
      </w:r>
      <w:r w:rsidR="00D70B6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年度公司为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子公司提供担保的公告》</w:t>
      </w:r>
    </w:p>
    <w:p w:rsidR="00984D7B" w:rsidRPr="00481418" w:rsidRDefault="003D6B08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本议案已经公司独立董事发表明确同意意见,</w:t>
      </w:r>
      <w:r w:rsidR="00984D7B" w:rsidRPr="00481418">
        <w:rPr>
          <w:rFonts w:asciiTheme="minorEastAsia" w:eastAsiaTheme="minorEastAsia" w:hAnsiTheme="minorEastAsia"/>
          <w:kern w:val="0"/>
          <w:sz w:val="24"/>
          <w:szCs w:val="24"/>
        </w:rPr>
        <w:t>本议案需提交公司</w:t>
      </w:r>
      <w:r w:rsidR="007E2872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79740D" w:rsidRPr="00481418">
        <w:rPr>
          <w:rFonts w:asciiTheme="minorEastAsia" w:eastAsiaTheme="minorEastAsia" w:hAnsiTheme="minorEastAsia"/>
          <w:kern w:val="0"/>
          <w:sz w:val="24"/>
          <w:szCs w:val="24"/>
        </w:rPr>
        <w:t>年度股东大会</w:t>
      </w:r>
      <w:r w:rsidR="00984D7B" w:rsidRPr="00481418">
        <w:rPr>
          <w:rFonts w:asciiTheme="minorEastAsia" w:eastAsiaTheme="minorEastAsia" w:hAnsiTheme="minorEastAsia"/>
          <w:kern w:val="0"/>
          <w:sz w:val="24"/>
          <w:szCs w:val="24"/>
        </w:rPr>
        <w:t>审议。</w:t>
      </w:r>
    </w:p>
    <w:p w:rsidR="008E739A" w:rsidRPr="00481418" w:rsidRDefault="00BB3F3F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十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三</w:t>
      </w:r>
      <w:r w:rsidR="004F40B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8E739A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700436">
        <w:rPr>
          <w:rFonts w:asciiTheme="minorEastAsia" w:eastAsiaTheme="minorEastAsia" w:hAnsiTheme="minorEastAsia" w:hint="eastAsia"/>
          <w:kern w:val="0"/>
          <w:sz w:val="24"/>
          <w:szCs w:val="24"/>
        </w:rPr>
        <w:t>5</w:t>
      </w:r>
      <w:r w:rsidR="008E739A" w:rsidRPr="00481418">
        <w:rPr>
          <w:rFonts w:asciiTheme="minorEastAsia" w:eastAsiaTheme="minorEastAsia" w:hAnsiTheme="minorEastAsia"/>
          <w:kern w:val="0"/>
          <w:sz w:val="24"/>
          <w:szCs w:val="24"/>
        </w:rPr>
        <w:t>票赞成</w:t>
      </w:r>
      <w:r w:rsidR="008E739A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700436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="00985BA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票回避、</w:t>
      </w:r>
      <w:r w:rsidR="008E739A" w:rsidRPr="00481418"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 w:rsidR="008E739A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="008E739A" w:rsidRPr="00481418"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 w:rsidR="008E739A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票弃权的表决结果通过《关于预计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8E739A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年度日常关联交易的议案》</w:t>
      </w:r>
    </w:p>
    <w:p w:rsidR="008E739A" w:rsidRPr="00481418" w:rsidRDefault="008E739A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详情见公司于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21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年4月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28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日刊登于《证券时报》、《中国证券报》和巨潮资讯网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r w:rsidRPr="00481418">
        <w:rPr>
          <w:rFonts w:asciiTheme="minorEastAsia" w:eastAsiaTheme="minorEastAsia" w:hAnsiTheme="minorEastAsia"/>
          <w:sz w:val="24"/>
          <w:szCs w:val="24"/>
        </w:rPr>
        <w:t>http://</w:t>
      </w:r>
      <w:proofErr w:type="spellStart"/>
      <w:r w:rsidRPr="00481418">
        <w:rPr>
          <w:rFonts w:asciiTheme="minorEastAsia" w:eastAsiaTheme="minorEastAsia" w:hAnsiTheme="minorEastAsia"/>
          <w:sz w:val="24"/>
          <w:szCs w:val="24"/>
        </w:rPr>
        <w:t>www.cninfo.com.cn</w:t>
      </w:r>
      <w:proofErr w:type="spellEnd"/>
      <w:r w:rsidRPr="00481418">
        <w:rPr>
          <w:rFonts w:asciiTheme="minorEastAsia" w:eastAsiaTheme="minorEastAsia" w:hAnsiTheme="minorEastAsia"/>
          <w:sz w:val="24"/>
          <w:szCs w:val="24"/>
        </w:rPr>
        <w:t>)</w:t>
      </w:r>
      <w:r w:rsidRPr="00481418">
        <w:rPr>
          <w:rFonts w:asciiTheme="minorEastAsia" w:eastAsiaTheme="minorEastAsia" w:hAnsiTheme="minorEastAsia" w:hint="eastAsia"/>
          <w:sz w:val="24"/>
          <w:szCs w:val="24"/>
        </w:rPr>
        <w:t>上的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《关于预计</w:t>
      </w:r>
      <w:r w:rsidR="00C60F6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年度日常关联交易的公告》</w:t>
      </w:r>
      <w:r w:rsidR="0056582B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。表决该议案时，关联董事孙伟挺先生、陈玲芬女士</w:t>
      </w:r>
      <w:r w:rsidR="00DA167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和张际松先生</w:t>
      </w:r>
      <w:r w:rsidR="00700436">
        <w:rPr>
          <w:rFonts w:asciiTheme="minorEastAsia" w:eastAsiaTheme="minorEastAsia" w:hAnsiTheme="minorEastAsia" w:hint="eastAsia"/>
          <w:kern w:val="0"/>
          <w:sz w:val="24"/>
          <w:szCs w:val="24"/>
        </w:rPr>
        <w:t>、张正先生因在关联方处</w:t>
      </w:r>
      <w:r w:rsidR="00DA167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任职</w:t>
      </w:r>
      <w:r w:rsidR="00513CD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董事</w:t>
      </w:r>
      <w:r w:rsidR="00DA167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而</w:t>
      </w:r>
      <w:r w:rsidR="0056582B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回避表决</w:t>
      </w:r>
      <w:bookmarkStart w:id="1" w:name="_GoBack"/>
      <w:bookmarkEnd w:id="1"/>
      <w:r w:rsidR="00DA167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 w:rsidR="0056582B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本议案已经公司独立董事发表明确同意意见</w:t>
      </w:r>
      <w:r w:rsidR="00301B70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该事项在公司董事会审议范围之内，无需提交公司股东大会审议。</w:t>
      </w:r>
    </w:p>
    <w:p w:rsidR="002D5BE1" w:rsidRPr="00481418" w:rsidRDefault="00DA1675" w:rsidP="00D744A3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十四</w:t>
      </w:r>
      <w:r w:rsidR="008E739A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2D5B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481418">
        <w:rPr>
          <w:rFonts w:asciiTheme="minorEastAsia" w:eastAsiaTheme="minorEastAsia" w:hAnsiTheme="minorEastAsia"/>
          <w:kern w:val="0"/>
          <w:sz w:val="24"/>
          <w:szCs w:val="24"/>
        </w:rPr>
        <w:t>票赞成</w:t>
      </w:r>
      <w:r w:rsidR="002D5B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2D5BE1" w:rsidRPr="00481418"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 w:rsidR="002D5B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="002D5BE1" w:rsidRPr="00481418"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 w:rsidR="002D5BE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票弃权的表决结果通过《关于提议召开公司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年度股东大会的议案》</w:t>
      </w:r>
    </w:p>
    <w:p w:rsidR="002D5BE1" w:rsidRPr="00481418" w:rsidRDefault="002D5BE1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详情见</w:t>
      </w:r>
      <w:r w:rsidR="004177B7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7E2872" w:rsidRPr="00481418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DA167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21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年4月</w:t>
      </w:r>
      <w:r w:rsidR="00DA167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28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AD43A4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刊登于《证券时报》、《中国证券报》和巨潮资讯网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r w:rsidRPr="00481418">
        <w:rPr>
          <w:rStyle w:val="a3"/>
          <w:rFonts w:asciiTheme="minorEastAsia" w:eastAsiaTheme="minorEastAsia" w:hAnsiTheme="minorEastAsia"/>
          <w:color w:val="auto"/>
          <w:kern w:val="0"/>
          <w:sz w:val="24"/>
          <w:szCs w:val="24"/>
          <w:u w:val="none"/>
        </w:rPr>
        <w:t>http://</w:t>
      </w:r>
      <w:proofErr w:type="spellStart"/>
      <w:r w:rsidRPr="00481418">
        <w:rPr>
          <w:rStyle w:val="a3"/>
          <w:rFonts w:asciiTheme="minorEastAsia" w:eastAsiaTheme="minorEastAsia" w:hAnsiTheme="minorEastAsia"/>
          <w:color w:val="auto"/>
          <w:kern w:val="0"/>
          <w:sz w:val="24"/>
          <w:szCs w:val="24"/>
          <w:u w:val="none"/>
        </w:rPr>
        <w:t>www.cninfo.com.cn</w:t>
      </w:r>
      <w:proofErr w:type="spellEnd"/>
      <w:r w:rsidRPr="00481418">
        <w:rPr>
          <w:rStyle w:val="a3"/>
          <w:rFonts w:asciiTheme="minorEastAsia" w:eastAsiaTheme="minorEastAsia" w:hAnsiTheme="minorEastAsia"/>
          <w:color w:val="auto"/>
          <w:kern w:val="0"/>
          <w:sz w:val="24"/>
          <w:szCs w:val="24"/>
          <w:u w:val="none"/>
        </w:rPr>
        <w:t>)</w:t>
      </w:r>
      <w:r w:rsidRPr="00481418">
        <w:rPr>
          <w:rStyle w:val="a3"/>
          <w:rFonts w:asciiTheme="minorEastAsia" w:eastAsiaTheme="minorEastAsia" w:hAnsiTheme="minorEastAsia" w:hint="eastAsia"/>
          <w:color w:val="auto"/>
          <w:kern w:val="0"/>
          <w:sz w:val="24"/>
          <w:szCs w:val="24"/>
          <w:u w:val="none"/>
        </w:rPr>
        <w:t>上的《</w:t>
      </w:r>
      <w:r w:rsidR="00AD43A4" w:rsidRPr="00481418">
        <w:rPr>
          <w:rStyle w:val="a3"/>
          <w:rFonts w:asciiTheme="minorEastAsia" w:eastAsiaTheme="minorEastAsia" w:hAnsiTheme="minorEastAsia" w:hint="eastAsia"/>
          <w:color w:val="auto"/>
          <w:kern w:val="0"/>
          <w:sz w:val="24"/>
          <w:szCs w:val="24"/>
          <w:u w:val="none"/>
        </w:rPr>
        <w:t>关于召开</w:t>
      </w:r>
      <w:r w:rsidR="00DA1675" w:rsidRPr="00481418">
        <w:rPr>
          <w:rStyle w:val="a3"/>
          <w:rFonts w:asciiTheme="minorEastAsia" w:eastAsiaTheme="minorEastAsia" w:hAnsiTheme="minorEastAsia" w:hint="eastAsia"/>
          <w:color w:val="auto"/>
          <w:kern w:val="0"/>
          <w:sz w:val="24"/>
          <w:szCs w:val="24"/>
          <w:u w:val="none"/>
        </w:rPr>
        <w:t>2020</w:t>
      </w:r>
      <w:r w:rsidRPr="00481418">
        <w:rPr>
          <w:rStyle w:val="a3"/>
          <w:rFonts w:asciiTheme="minorEastAsia" w:eastAsiaTheme="minorEastAsia" w:hAnsiTheme="minorEastAsia" w:hint="eastAsia"/>
          <w:color w:val="auto"/>
          <w:kern w:val="0"/>
          <w:sz w:val="24"/>
          <w:szCs w:val="24"/>
          <w:u w:val="none"/>
        </w:rPr>
        <w:t>年度股东大会</w:t>
      </w:r>
      <w:r w:rsidR="00AD43A4" w:rsidRPr="00481418">
        <w:rPr>
          <w:rStyle w:val="a3"/>
          <w:rFonts w:asciiTheme="minorEastAsia" w:eastAsiaTheme="minorEastAsia" w:hAnsiTheme="minorEastAsia" w:hint="eastAsia"/>
          <w:color w:val="auto"/>
          <w:kern w:val="0"/>
          <w:sz w:val="24"/>
          <w:szCs w:val="24"/>
          <w:u w:val="none"/>
        </w:rPr>
        <w:lastRenderedPageBreak/>
        <w:t>的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通知》。</w:t>
      </w:r>
    </w:p>
    <w:p w:rsidR="00AC3C01" w:rsidRPr="00481418" w:rsidRDefault="00E37C18" w:rsidP="00985BAD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E37C18" w:rsidRPr="00481418" w:rsidRDefault="00E37C18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DA167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华孚时尚股份有限公司第七届董事会第七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</w:p>
    <w:p w:rsidR="00E37C18" w:rsidRPr="00481418" w:rsidRDefault="00E37C18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2、</w:t>
      </w:r>
      <w:r w:rsidR="00DA167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独立董事关于第七届董事会第七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次会议相关事项的事前认可意见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</w:p>
    <w:p w:rsidR="00847235" w:rsidRPr="00481418" w:rsidRDefault="00847235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3、</w:t>
      </w:r>
      <w:r w:rsidR="00DA167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独立董事关于第七届董事会第七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次会议相关事项的独立意见</w:t>
      </w:r>
      <w:r w:rsidR="00011431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</w:p>
    <w:p w:rsidR="00E37C18" w:rsidRPr="00481418" w:rsidRDefault="00932963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957BE8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董事、</w:t>
      </w:r>
      <w:r w:rsidR="007E2872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监事、</w:t>
      </w:r>
      <w:r w:rsidR="00957BE8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高级管理人员</w:t>
      </w:r>
      <w:r w:rsidR="00E37C18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关于公司</w:t>
      </w:r>
      <w:r w:rsidR="00DA1675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年度报告的书面确认意见</w:t>
      </w:r>
      <w:r w:rsidR="00A02886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</w:p>
    <w:p w:rsidR="00A02886" w:rsidRPr="00481418" w:rsidRDefault="00A02886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5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957BE8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董事、</w:t>
      </w:r>
      <w:r w:rsidR="007E2872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监事、</w:t>
      </w:r>
      <w:r w:rsidR="00957BE8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高级管理人员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关于公司</w:t>
      </w:r>
      <w:r w:rsidR="00072F72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74750C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年第一季度报告的书面确认意见。</w:t>
      </w:r>
    </w:p>
    <w:p w:rsidR="00847235" w:rsidRPr="00481418" w:rsidRDefault="00847235" w:rsidP="00985BA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6E6AFD" w:rsidRPr="00481418" w:rsidRDefault="006E6AFD" w:rsidP="00985BA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6AFD" w:rsidRPr="00481418" w:rsidRDefault="006E6AFD" w:rsidP="00985BAD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481418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481418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8334EC" w:rsidRPr="00985BAD" w:rsidRDefault="00DA1675" w:rsidP="00985BAD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二〇二一年四月二十八</w:t>
      </w:r>
      <w:r w:rsidR="006E6AFD" w:rsidRPr="004814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8334EC" w:rsidRPr="00985BAD" w:rsidSect="0083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A0" w:rsidRDefault="00AC63A0" w:rsidP="00824DED">
      <w:r>
        <w:separator/>
      </w:r>
    </w:p>
  </w:endnote>
  <w:endnote w:type="continuationSeparator" w:id="0">
    <w:p w:rsidR="00AC63A0" w:rsidRDefault="00AC63A0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A0" w:rsidRDefault="00AC63A0" w:rsidP="00824DED">
      <w:r>
        <w:separator/>
      </w:r>
    </w:p>
  </w:footnote>
  <w:footnote w:type="continuationSeparator" w:id="0">
    <w:p w:rsidR="00AC63A0" w:rsidRDefault="00AC63A0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11431"/>
    <w:rsid w:val="00030938"/>
    <w:rsid w:val="0005344A"/>
    <w:rsid w:val="00072F72"/>
    <w:rsid w:val="00073ED7"/>
    <w:rsid w:val="000864CE"/>
    <w:rsid w:val="000A59A0"/>
    <w:rsid w:val="000E0DC2"/>
    <w:rsid w:val="000E1CB2"/>
    <w:rsid w:val="000F2525"/>
    <w:rsid w:val="000F31DF"/>
    <w:rsid w:val="00101C2A"/>
    <w:rsid w:val="0010472C"/>
    <w:rsid w:val="00107892"/>
    <w:rsid w:val="00110CA2"/>
    <w:rsid w:val="001454CC"/>
    <w:rsid w:val="00147F04"/>
    <w:rsid w:val="00160828"/>
    <w:rsid w:val="00171561"/>
    <w:rsid w:val="00172BC2"/>
    <w:rsid w:val="001834CB"/>
    <w:rsid w:val="00184D4F"/>
    <w:rsid w:val="00195116"/>
    <w:rsid w:val="001E7C24"/>
    <w:rsid w:val="00260090"/>
    <w:rsid w:val="00287EF9"/>
    <w:rsid w:val="002B7A5A"/>
    <w:rsid w:val="002D5BE1"/>
    <w:rsid w:val="002D792A"/>
    <w:rsid w:val="00301B70"/>
    <w:rsid w:val="00331750"/>
    <w:rsid w:val="0037195C"/>
    <w:rsid w:val="003C7D52"/>
    <w:rsid w:val="003D122A"/>
    <w:rsid w:val="003D6B08"/>
    <w:rsid w:val="003D76D1"/>
    <w:rsid w:val="003E3AAF"/>
    <w:rsid w:val="00407607"/>
    <w:rsid w:val="004177B7"/>
    <w:rsid w:val="004311AF"/>
    <w:rsid w:val="00481418"/>
    <w:rsid w:val="004B6727"/>
    <w:rsid w:val="004D6190"/>
    <w:rsid w:val="004E7761"/>
    <w:rsid w:val="004F40B5"/>
    <w:rsid w:val="004F782E"/>
    <w:rsid w:val="00513CD5"/>
    <w:rsid w:val="00515F86"/>
    <w:rsid w:val="0052141F"/>
    <w:rsid w:val="00523EE7"/>
    <w:rsid w:val="005262A3"/>
    <w:rsid w:val="00533D5E"/>
    <w:rsid w:val="00563FDE"/>
    <w:rsid w:val="0056582B"/>
    <w:rsid w:val="00575FD2"/>
    <w:rsid w:val="00583371"/>
    <w:rsid w:val="005C3288"/>
    <w:rsid w:val="005C6441"/>
    <w:rsid w:val="00602F1F"/>
    <w:rsid w:val="0060371E"/>
    <w:rsid w:val="00613DFD"/>
    <w:rsid w:val="00624B96"/>
    <w:rsid w:val="00630782"/>
    <w:rsid w:val="0065306D"/>
    <w:rsid w:val="00663FE3"/>
    <w:rsid w:val="00666BB4"/>
    <w:rsid w:val="00677B15"/>
    <w:rsid w:val="006822AB"/>
    <w:rsid w:val="00697179"/>
    <w:rsid w:val="006E6AFD"/>
    <w:rsid w:val="006F311D"/>
    <w:rsid w:val="006F3BB5"/>
    <w:rsid w:val="006F59DF"/>
    <w:rsid w:val="00700436"/>
    <w:rsid w:val="00704E4B"/>
    <w:rsid w:val="00737F5E"/>
    <w:rsid w:val="0074750C"/>
    <w:rsid w:val="00757D85"/>
    <w:rsid w:val="0079740D"/>
    <w:rsid w:val="0079769C"/>
    <w:rsid w:val="007C0D39"/>
    <w:rsid w:val="007D5132"/>
    <w:rsid w:val="007E2872"/>
    <w:rsid w:val="00822E8C"/>
    <w:rsid w:val="00824DED"/>
    <w:rsid w:val="00826D6E"/>
    <w:rsid w:val="00832685"/>
    <w:rsid w:val="008334EC"/>
    <w:rsid w:val="00841BE8"/>
    <w:rsid w:val="00847235"/>
    <w:rsid w:val="00862A46"/>
    <w:rsid w:val="008720A2"/>
    <w:rsid w:val="008C3C6D"/>
    <w:rsid w:val="008D13DD"/>
    <w:rsid w:val="008D4E62"/>
    <w:rsid w:val="008E739A"/>
    <w:rsid w:val="00921C1A"/>
    <w:rsid w:val="0093215B"/>
    <w:rsid w:val="00932963"/>
    <w:rsid w:val="0095138F"/>
    <w:rsid w:val="00957BE8"/>
    <w:rsid w:val="00962675"/>
    <w:rsid w:val="00974AE1"/>
    <w:rsid w:val="0098134C"/>
    <w:rsid w:val="00984D7B"/>
    <w:rsid w:val="00985BAD"/>
    <w:rsid w:val="00985CBE"/>
    <w:rsid w:val="00993E83"/>
    <w:rsid w:val="009D0419"/>
    <w:rsid w:val="009D7EF8"/>
    <w:rsid w:val="009F23F9"/>
    <w:rsid w:val="009F6B32"/>
    <w:rsid w:val="00A02886"/>
    <w:rsid w:val="00A137E7"/>
    <w:rsid w:val="00A22881"/>
    <w:rsid w:val="00A2438E"/>
    <w:rsid w:val="00A2788A"/>
    <w:rsid w:val="00A35185"/>
    <w:rsid w:val="00A45FE7"/>
    <w:rsid w:val="00A74B9F"/>
    <w:rsid w:val="00A76D9B"/>
    <w:rsid w:val="00A83FCE"/>
    <w:rsid w:val="00AC3C01"/>
    <w:rsid w:val="00AC591E"/>
    <w:rsid w:val="00AC63A0"/>
    <w:rsid w:val="00AC641F"/>
    <w:rsid w:val="00AD43A4"/>
    <w:rsid w:val="00AF376D"/>
    <w:rsid w:val="00B315E6"/>
    <w:rsid w:val="00B34194"/>
    <w:rsid w:val="00B4132A"/>
    <w:rsid w:val="00B66744"/>
    <w:rsid w:val="00BA6BC2"/>
    <w:rsid w:val="00BA7F76"/>
    <w:rsid w:val="00BB3F3F"/>
    <w:rsid w:val="00BF13AE"/>
    <w:rsid w:val="00BF23F9"/>
    <w:rsid w:val="00C019E6"/>
    <w:rsid w:val="00C21C42"/>
    <w:rsid w:val="00C428C4"/>
    <w:rsid w:val="00C506F0"/>
    <w:rsid w:val="00C55B84"/>
    <w:rsid w:val="00C60F60"/>
    <w:rsid w:val="00C6218A"/>
    <w:rsid w:val="00C75216"/>
    <w:rsid w:val="00C80118"/>
    <w:rsid w:val="00CB7DB4"/>
    <w:rsid w:val="00CF0030"/>
    <w:rsid w:val="00D0411A"/>
    <w:rsid w:val="00D12795"/>
    <w:rsid w:val="00D40684"/>
    <w:rsid w:val="00D70B6D"/>
    <w:rsid w:val="00D744A3"/>
    <w:rsid w:val="00D851B2"/>
    <w:rsid w:val="00D872DE"/>
    <w:rsid w:val="00D9258B"/>
    <w:rsid w:val="00DA1675"/>
    <w:rsid w:val="00DA360D"/>
    <w:rsid w:val="00DD30B7"/>
    <w:rsid w:val="00DE734B"/>
    <w:rsid w:val="00DF0348"/>
    <w:rsid w:val="00E330A1"/>
    <w:rsid w:val="00E37C18"/>
    <w:rsid w:val="00E6615D"/>
    <w:rsid w:val="00E7656F"/>
    <w:rsid w:val="00E85137"/>
    <w:rsid w:val="00EE7C11"/>
    <w:rsid w:val="00F01039"/>
    <w:rsid w:val="00F05FA4"/>
    <w:rsid w:val="00F0735F"/>
    <w:rsid w:val="00F54AEF"/>
    <w:rsid w:val="00F70C8D"/>
    <w:rsid w:val="00F758CC"/>
    <w:rsid w:val="00F8199E"/>
    <w:rsid w:val="00F96CE1"/>
    <w:rsid w:val="00FB6F06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184D4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184D4F"/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0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4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E1C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184D4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184D4F"/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0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4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E1C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13" Type="http://schemas.openxmlformats.org/officeDocument/2006/relationships/hyperlink" Target="http://www.cninfo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ninfo.com.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info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ninfo.com.cn)&#19978;&#30340;&#12298;&#20851;&#20110;&#39044;&#35745;2018" TargetMode="External"/><Relationship Id="rId10" Type="http://schemas.openxmlformats.org/officeDocument/2006/relationships/hyperlink" Target="http://www.cninfo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info.com.cn" TargetMode="External"/><Relationship Id="rId14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4149-D5C2-4AD9-8118-F8397CC2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559</Words>
  <Characters>3191</Characters>
  <Application>Microsoft Office Word</Application>
  <DocSecurity>0</DocSecurity>
  <Lines>26</Lines>
  <Paragraphs>7</Paragraphs>
  <ScaleCrop>false</ScaleCrop>
  <Company>Lenovo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16</cp:revision>
  <cp:lastPrinted>2018-04-24T01:50:00Z</cp:lastPrinted>
  <dcterms:created xsi:type="dcterms:W3CDTF">2021-04-13T10:30:00Z</dcterms:created>
  <dcterms:modified xsi:type="dcterms:W3CDTF">2021-04-27T11:09:00Z</dcterms:modified>
</cp:coreProperties>
</file>