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F3" w:rsidRPr="00453779" w:rsidRDefault="00844CF3" w:rsidP="00844CF3">
      <w:pPr>
        <w:spacing w:line="360" w:lineRule="auto"/>
        <w:jc w:val="center"/>
        <w:rPr>
          <w:rFonts w:ascii="黑体" w:eastAsia="黑体" w:hAnsi="黑体"/>
          <w:b/>
          <w:bCs/>
          <w:color w:val="000000"/>
          <w:sz w:val="22"/>
          <w:szCs w:val="21"/>
        </w:rPr>
      </w:pPr>
      <w:r w:rsidRPr="00453779">
        <w:rPr>
          <w:rFonts w:ascii="黑体" w:eastAsia="黑体" w:hAnsi="黑体"/>
          <w:bCs/>
          <w:kern w:val="0"/>
          <w:sz w:val="22"/>
          <w:szCs w:val="21"/>
        </w:rPr>
        <w:t xml:space="preserve">证券代码：002042     </w:t>
      </w:r>
      <w:r w:rsidR="008532BD" w:rsidRPr="00453779">
        <w:rPr>
          <w:rFonts w:ascii="黑体" w:eastAsia="黑体" w:hAnsi="黑体"/>
          <w:bCs/>
          <w:kern w:val="0"/>
          <w:sz w:val="22"/>
          <w:szCs w:val="21"/>
        </w:rPr>
        <w:t xml:space="preserve">　　</w:t>
      </w:r>
      <w:r w:rsidRPr="00453779">
        <w:rPr>
          <w:rFonts w:ascii="黑体" w:eastAsia="黑体" w:hAnsi="黑体"/>
          <w:bCs/>
          <w:kern w:val="0"/>
          <w:sz w:val="22"/>
          <w:szCs w:val="21"/>
        </w:rPr>
        <w:t xml:space="preserve">   </w:t>
      </w:r>
      <w:r w:rsidR="008532BD" w:rsidRPr="00453779">
        <w:rPr>
          <w:rFonts w:ascii="黑体" w:eastAsia="黑体" w:hAnsi="黑体"/>
          <w:bCs/>
          <w:kern w:val="0"/>
          <w:sz w:val="22"/>
          <w:szCs w:val="21"/>
        </w:rPr>
        <w:t xml:space="preserve">　</w:t>
      </w:r>
      <w:r w:rsidRPr="00453779">
        <w:rPr>
          <w:rFonts w:ascii="黑体" w:eastAsia="黑体" w:hAnsi="黑体"/>
          <w:bCs/>
          <w:kern w:val="0"/>
          <w:sz w:val="22"/>
          <w:szCs w:val="21"/>
        </w:rPr>
        <w:t>证券简称：华孚</w:t>
      </w:r>
      <w:r w:rsidR="007D77B8" w:rsidRPr="00453779">
        <w:rPr>
          <w:rFonts w:ascii="黑体" w:eastAsia="黑体" w:hAnsi="黑体"/>
          <w:bCs/>
          <w:kern w:val="0"/>
          <w:sz w:val="22"/>
          <w:szCs w:val="21"/>
        </w:rPr>
        <w:t>时尚</w:t>
      </w:r>
      <w:r w:rsidR="008532BD" w:rsidRPr="00453779">
        <w:rPr>
          <w:rFonts w:ascii="黑体" w:eastAsia="黑体" w:hAnsi="黑体"/>
          <w:bCs/>
          <w:kern w:val="0"/>
          <w:sz w:val="22"/>
          <w:szCs w:val="21"/>
        </w:rPr>
        <w:t xml:space="preserve">　　</w:t>
      </w:r>
      <w:r w:rsidRPr="00453779">
        <w:rPr>
          <w:rFonts w:ascii="黑体" w:eastAsia="黑体" w:hAnsi="黑体"/>
          <w:bCs/>
          <w:kern w:val="0"/>
          <w:sz w:val="22"/>
          <w:szCs w:val="21"/>
        </w:rPr>
        <w:t xml:space="preserve">  </w:t>
      </w:r>
      <w:r w:rsidR="008532BD" w:rsidRPr="00453779">
        <w:rPr>
          <w:rFonts w:ascii="黑体" w:eastAsia="黑体" w:hAnsi="黑体"/>
          <w:bCs/>
          <w:kern w:val="0"/>
          <w:sz w:val="22"/>
          <w:szCs w:val="21"/>
        </w:rPr>
        <w:t xml:space="preserve">　</w:t>
      </w:r>
      <w:r w:rsidRPr="00453779">
        <w:rPr>
          <w:rFonts w:ascii="黑体" w:eastAsia="黑体" w:hAnsi="黑体"/>
          <w:bCs/>
          <w:kern w:val="0"/>
          <w:sz w:val="22"/>
          <w:szCs w:val="21"/>
        </w:rPr>
        <w:t xml:space="preserve">     公告编号：</w:t>
      </w:r>
      <w:r w:rsidR="00B772B8" w:rsidRPr="00453779">
        <w:rPr>
          <w:rFonts w:ascii="黑体" w:eastAsia="黑体" w:hAnsi="黑体"/>
          <w:bCs/>
          <w:kern w:val="0"/>
          <w:sz w:val="22"/>
          <w:szCs w:val="21"/>
        </w:rPr>
        <w:t>2019</w:t>
      </w:r>
      <w:r w:rsidRPr="00453779">
        <w:rPr>
          <w:rFonts w:ascii="黑体" w:eastAsia="黑体" w:hAnsi="黑体"/>
          <w:bCs/>
          <w:kern w:val="0"/>
          <w:sz w:val="22"/>
          <w:szCs w:val="21"/>
        </w:rPr>
        <w:t>-</w:t>
      </w:r>
      <w:r w:rsidR="001E40B7">
        <w:rPr>
          <w:rFonts w:ascii="黑体" w:eastAsia="黑体" w:hAnsi="黑体" w:hint="eastAsia"/>
          <w:bCs/>
          <w:kern w:val="0"/>
          <w:sz w:val="22"/>
          <w:szCs w:val="21"/>
        </w:rPr>
        <w:t>46</w:t>
      </w:r>
    </w:p>
    <w:p w:rsidR="00844CF3" w:rsidRPr="009836B7" w:rsidRDefault="00844CF3" w:rsidP="00844CF3">
      <w:pPr>
        <w:spacing w:line="240" w:lineRule="exact"/>
        <w:ind w:rightChars="20" w:right="42"/>
        <w:rPr>
          <w:rFonts w:eastAsiaTheme="minorEastAsia"/>
          <w:b/>
          <w:bCs/>
          <w:color w:val="000000"/>
          <w:sz w:val="24"/>
          <w:szCs w:val="36"/>
        </w:rPr>
      </w:pPr>
    </w:p>
    <w:p w:rsidR="00844CF3" w:rsidRPr="008532BD" w:rsidRDefault="00844CF3" w:rsidP="008532BD">
      <w:pPr>
        <w:spacing w:beforeLines="50" w:before="156" w:afterLines="100" w:after="312" w:line="400" w:lineRule="exact"/>
        <w:ind w:rightChars="20" w:right="42"/>
        <w:jc w:val="center"/>
        <w:rPr>
          <w:rFonts w:asciiTheme="minorEastAsia" w:eastAsiaTheme="minorEastAsia" w:hAnsiTheme="minorEastAsia"/>
          <w:b/>
          <w:bCs/>
          <w:color w:val="000000"/>
          <w:sz w:val="36"/>
          <w:szCs w:val="36"/>
        </w:rPr>
      </w:pPr>
      <w:r w:rsidRPr="008532BD">
        <w:rPr>
          <w:rFonts w:asciiTheme="minorEastAsia" w:eastAsiaTheme="minorEastAsia" w:hAnsiTheme="minorEastAsia"/>
          <w:b/>
          <w:bCs/>
          <w:color w:val="000000"/>
          <w:sz w:val="36"/>
          <w:szCs w:val="36"/>
        </w:rPr>
        <w:t>华孚</w:t>
      </w:r>
      <w:r w:rsidR="007D77B8" w:rsidRPr="008532BD">
        <w:rPr>
          <w:rFonts w:asciiTheme="minorEastAsia" w:eastAsiaTheme="minorEastAsia" w:hAnsiTheme="minorEastAsia"/>
          <w:b/>
          <w:bCs/>
          <w:color w:val="000000"/>
          <w:sz w:val="36"/>
          <w:szCs w:val="36"/>
        </w:rPr>
        <w:t>时尚</w:t>
      </w:r>
      <w:r w:rsidRPr="008532BD">
        <w:rPr>
          <w:rFonts w:asciiTheme="minorEastAsia" w:eastAsiaTheme="minorEastAsia" w:hAnsiTheme="minorEastAsia"/>
          <w:b/>
          <w:bCs/>
          <w:color w:val="000000"/>
          <w:sz w:val="36"/>
          <w:szCs w:val="36"/>
        </w:rPr>
        <w:t>股份有限公司</w:t>
      </w:r>
    </w:p>
    <w:p w:rsidR="00844CF3" w:rsidRPr="008532BD" w:rsidRDefault="005637B5" w:rsidP="008532BD">
      <w:pPr>
        <w:spacing w:beforeLines="50" w:before="156" w:afterLines="100" w:after="312" w:line="400" w:lineRule="exact"/>
        <w:ind w:rightChars="20" w:right="42"/>
        <w:jc w:val="center"/>
        <w:rPr>
          <w:rFonts w:asciiTheme="minorEastAsia" w:eastAsiaTheme="minorEastAsia" w:hAnsiTheme="minorEastAsia"/>
          <w:b/>
          <w:bCs/>
          <w:color w:val="000000"/>
          <w:sz w:val="36"/>
          <w:szCs w:val="36"/>
        </w:rPr>
      </w:pPr>
      <w:r w:rsidRPr="008532BD">
        <w:rPr>
          <w:rFonts w:asciiTheme="minorEastAsia" w:eastAsiaTheme="minorEastAsia" w:hAnsiTheme="minorEastAsia"/>
          <w:b/>
          <w:bCs/>
          <w:color w:val="000000"/>
          <w:sz w:val="36"/>
          <w:szCs w:val="36"/>
        </w:rPr>
        <w:t>关于</w:t>
      </w:r>
      <w:r w:rsidR="00FF2D42" w:rsidRPr="008532BD">
        <w:rPr>
          <w:rFonts w:asciiTheme="minorEastAsia" w:eastAsiaTheme="minorEastAsia" w:hAnsiTheme="minorEastAsia" w:hint="eastAsia"/>
          <w:b/>
          <w:bCs/>
          <w:color w:val="000000"/>
          <w:sz w:val="36"/>
          <w:szCs w:val="36"/>
        </w:rPr>
        <w:t>回购股份期限届满暨回购完成的</w:t>
      </w:r>
      <w:r w:rsidR="00844CF3" w:rsidRPr="008532BD">
        <w:rPr>
          <w:rFonts w:asciiTheme="minorEastAsia" w:eastAsiaTheme="minorEastAsia" w:hAnsiTheme="minorEastAsia"/>
          <w:b/>
          <w:bCs/>
          <w:color w:val="000000"/>
          <w:sz w:val="36"/>
          <w:szCs w:val="36"/>
        </w:rPr>
        <w:t>公告</w:t>
      </w:r>
    </w:p>
    <w:p w:rsidR="00844CF3" w:rsidRDefault="00844CF3" w:rsidP="00844CF3">
      <w:pPr>
        <w:spacing w:line="360" w:lineRule="auto"/>
        <w:ind w:rightChars="20" w:right="42" w:firstLineChars="200" w:firstLine="480"/>
        <w:rPr>
          <w:rFonts w:ascii="楷体" w:eastAsia="楷体" w:hAnsi="楷体"/>
          <w:color w:val="000000"/>
          <w:sz w:val="24"/>
        </w:rPr>
      </w:pPr>
      <w:r w:rsidRPr="00FF2D42">
        <w:rPr>
          <w:rFonts w:ascii="楷体" w:eastAsia="楷体" w:hAnsi="楷体"/>
          <w:color w:val="000000"/>
          <w:sz w:val="24"/>
        </w:rPr>
        <w:t>本公司及董事会全体成员保证信息披露的内容真实、准确、完整，没有虚假记载、误导性陈述或重大遗漏。</w:t>
      </w:r>
    </w:p>
    <w:p w:rsidR="00EE5F92" w:rsidRPr="00E46206" w:rsidRDefault="009D323D"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华孚时尚股份有限公司（以下简称“公司”）于2018年10月21日召开第六届董事会2018年第三次临时会议、2018年11月6日召开公司2018年第二次临时股东大会审议通过《关于回购公司股份的议案》，并于2018年11月22日披露了《关于首次回购公司股份的公告》。上述详细内容请见公司于2018年10月22日、2018年11月7日、2018年11月22日刊登在《中国证券报》、《证券时报》及巨潮资讯网</w:t>
      </w:r>
      <w:r w:rsidRPr="00E46206">
        <w:rPr>
          <w:rFonts w:asciiTheme="minorEastAsia" w:hAnsiTheme="minorEastAsia" w:hint="eastAsia"/>
          <w:sz w:val="24"/>
        </w:rPr>
        <w:t>（www.cninfo.com.cn</w:t>
      </w:r>
      <w:r w:rsidRPr="00E46206">
        <w:rPr>
          <w:rFonts w:asciiTheme="minorEastAsia" w:hAnsiTheme="minorEastAsia" w:cs="宋体" w:hint="eastAsia"/>
          <w:color w:val="000000"/>
          <w:kern w:val="0"/>
          <w:sz w:val="24"/>
        </w:rPr>
        <w:t>）的相关公告。</w:t>
      </w:r>
    </w:p>
    <w:p w:rsidR="009D323D" w:rsidRPr="00E46206" w:rsidRDefault="00EE5F92"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公司于2019年3月15日及2019年4月2日分别召开第七届董事会2019年第二次临时会议和2019年第二次临时股东大会审议通过《关于二次修订&lt;回购公司股份方案&gt;的议案》，修订后的回购股份的用途为全部用于转换成公司发行的可转换为股票的公司债券。详细内容可参见公司于2019年3月16日公告在《证券时报》、《中国证券报》及巨潮资讯网（www.cninfo.com.cn）上的《关于回购公司股份方案的公告（二次修订稿）》。</w:t>
      </w:r>
    </w:p>
    <w:p w:rsidR="00EE5F92" w:rsidRPr="00E46206" w:rsidRDefault="00EE5F92"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截止2019年5月6日，公司本次回购股份期限届满，现将有关事项公告如下：</w:t>
      </w:r>
    </w:p>
    <w:p w:rsidR="00EE5F92" w:rsidRPr="00E46206" w:rsidRDefault="00EE5F92" w:rsidP="00604F5E">
      <w:pPr>
        <w:spacing w:line="500" w:lineRule="exact"/>
        <w:ind w:firstLineChars="200" w:firstLine="482"/>
        <w:jc w:val="left"/>
        <w:rPr>
          <w:rFonts w:asciiTheme="minorEastAsia" w:hAnsiTheme="minorEastAsia" w:cs="宋体"/>
          <w:b/>
          <w:color w:val="000000"/>
          <w:kern w:val="0"/>
          <w:sz w:val="24"/>
        </w:rPr>
      </w:pPr>
      <w:r w:rsidRPr="00E46206">
        <w:rPr>
          <w:rFonts w:asciiTheme="minorEastAsia" w:hAnsiTheme="minorEastAsia" w:cs="宋体" w:hint="eastAsia"/>
          <w:b/>
          <w:color w:val="000000"/>
          <w:kern w:val="0"/>
          <w:sz w:val="24"/>
        </w:rPr>
        <w:t>一、股份回购情况</w:t>
      </w:r>
    </w:p>
    <w:p w:rsidR="00EE5F92" w:rsidRPr="00E46206" w:rsidRDefault="00EE5F92"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1、公司于2018年11月21日首次以集中竞价的方式回购股份，详细内容可参见公司于2018年11月22日公告在《证券时报》、《中国证券报》及巨潮资讯网（www.cninfo.com.cn）上的《关于</w:t>
      </w:r>
      <w:r w:rsidR="004B6B5A" w:rsidRPr="00E46206">
        <w:rPr>
          <w:rFonts w:asciiTheme="minorEastAsia" w:hAnsiTheme="minorEastAsia" w:cs="宋体" w:hint="eastAsia"/>
          <w:color w:val="000000"/>
          <w:kern w:val="0"/>
          <w:sz w:val="24"/>
        </w:rPr>
        <w:t>首次回购公司股份的公告》</w:t>
      </w:r>
      <w:r w:rsidRPr="00E46206">
        <w:rPr>
          <w:rFonts w:asciiTheme="minorEastAsia" w:hAnsiTheme="minorEastAsia" w:cs="宋体" w:hint="eastAsia"/>
          <w:color w:val="000000"/>
          <w:kern w:val="0"/>
          <w:sz w:val="24"/>
        </w:rPr>
        <w:t>。</w:t>
      </w:r>
    </w:p>
    <w:p w:rsidR="004B6B5A" w:rsidRPr="00E46206" w:rsidRDefault="004B6B5A"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2、公司根据《深圳证券交易所上市公司回购股份实施细则》的规定，及时履行回购进展的信息披露义务，详细内容可参见公司于2018年11月22日、2018年12月5日、2018年12月7日、2018年12月27日、2019年1月4日、2019</w:t>
      </w:r>
      <w:r w:rsidRPr="00E46206">
        <w:rPr>
          <w:rFonts w:asciiTheme="minorEastAsia" w:hAnsiTheme="minorEastAsia" w:cs="宋体" w:hint="eastAsia"/>
          <w:color w:val="000000"/>
          <w:kern w:val="0"/>
          <w:sz w:val="24"/>
        </w:rPr>
        <w:lastRenderedPageBreak/>
        <w:t>年1月31日、2019年2月12日、2019年3月5日、2019年3月23日、2019年4月2日、209年4月3日</w:t>
      </w:r>
      <w:r w:rsidR="00DB185A" w:rsidRPr="00E46206">
        <w:rPr>
          <w:rFonts w:asciiTheme="minorEastAsia" w:hAnsiTheme="minorEastAsia" w:cs="宋体" w:hint="eastAsia"/>
          <w:color w:val="000000"/>
          <w:kern w:val="0"/>
          <w:sz w:val="24"/>
        </w:rPr>
        <w:t>、2019年4月30日</w:t>
      </w:r>
      <w:r w:rsidRPr="00E46206">
        <w:rPr>
          <w:rFonts w:asciiTheme="minorEastAsia" w:hAnsiTheme="minorEastAsia" w:cs="宋体" w:hint="eastAsia"/>
          <w:color w:val="000000"/>
          <w:kern w:val="0"/>
          <w:sz w:val="24"/>
        </w:rPr>
        <w:t>公布在《证券时报》、《中国证券报》及巨潮资讯网（www.cninfo.com.cn）上的相关公告。</w:t>
      </w:r>
    </w:p>
    <w:p w:rsidR="004B6B5A" w:rsidRPr="00E46206" w:rsidRDefault="004B6B5A" w:rsidP="00604F5E">
      <w:pPr>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3、截止2019年5月6日，公司以集中竞价方式回购股份总数为</w:t>
      </w:r>
      <w:r w:rsidR="008532BD" w:rsidRPr="00E46206">
        <w:rPr>
          <w:rFonts w:asciiTheme="minorEastAsia" w:hAnsiTheme="minorEastAsia" w:cs="宋体" w:hint="eastAsia"/>
          <w:color w:val="000000"/>
          <w:kern w:val="0"/>
          <w:sz w:val="24"/>
        </w:rPr>
        <w:t>92,973,035</w:t>
      </w:r>
      <w:r w:rsidRPr="00E46206">
        <w:rPr>
          <w:rFonts w:asciiTheme="minorEastAsia" w:hAnsiTheme="minorEastAsia" w:cs="宋体" w:hint="eastAsia"/>
          <w:color w:val="000000"/>
          <w:kern w:val="0"/>
          <w:sz w:val="24"/>
        </w:rPr>
        <w:t>股，占公司总股本的比例为</w:t>
      </w:r>
      <w:r w:rsidR="008532BD" w:rsidRPr="00E46206">
        <w:rPr>
          <w:rFonts w:asciiTheme="minorEastAsia" w:hAnsiTheme="minorEastAsia" w:cs="宋体" w:hint="eastAsia"/>
          <w:color w:val="000000"/>
          <w:kern w:val="0"/>
          <w:sz w:val="24"/>
        </w:rPr>
        <w:t>6.12</w:t>
      </w:r>
      <w:r w:rsidRPr="00E46206">
        <w:rPr>
          <w:rFonts w:asciiTheme="minorEastAsia" w:hAnsiTheme="minorEastAsia" w:cs="宋体" w:hint="eastAsia"/>
          <w:color w:val="000000"/>
          <w:kern w:val="0"/>
          <w:sz w:val="24"/>
        </w:rPr>
        <w:t>%，最高成交价为</w:t>
      </w:r>
      <w:r w:rsidR="00E02C6C" w:rsidRPr="00E46206">
        <w:rPr>
          <w:rFonts w:asciiTheme="minorEastAsia" w:hAnsiTheme="minorEastAsia" w:cs="宋体" w:hint="eastAsia"/>
          <w:color w:val="000000"/>
          <w:kern w:val="0"/>
          <w:sz w:val="24"/>
        </w:rPr>
        <w:t>8.10</w:t>
      </w:r>
      <w:r w:rsidR="003936C8" w:rsidRPr="00E46206">
        <w:rPr>
          <w:rFonts w:asciiTheme="minorEastAsia" w:hAnsiTheme="minorEastAsia" w:cs="宋体" w:hint="eastAsia"/>
          <w:color w:val="000000"/>
          <w:kern w:val="0"/>
          <w:sz w:val="24"/>
        </w:rPr>
        <w:t>元/股，最低成交价为5.19元/股，成交总金额为</w:t>
      </w:r>
      <w:r w:rsidR="008532BD" w:rsidRPr="00E46206">
        <w:rPr>
          <w:rFonts w:asciiTheme="minorEastAsia" w:hAnsiTheme="minorEastAsia" w:cs="宋体"/>
          <w:color w:val="000000"/>
          <w:kern w:val="0"/>
          <w:sz w:val="24"/>
        </w:rPr>
        <w:t>599</w:t>
      </w:r>
      <w:r w:rsidR="008532BD" w:rsidRPr="00E46206">
        <w:rPr>
          <w:rFonts w:asciiTheme="minorEastAsia" w:hAnsiTheme="minorEastAsia" w:cs="宋体" w:hint="eastAsia"/>
          <w:color w:val="000000"/>
          <w:kern w:val="0"/>
          <w:sz w:val="24"/>
        </w:rPr>
        <w:t>,</w:t>
      </w:r>
      <w:r w:rsidR="008532BD" w:rsidRPr="00E46206">
        <w:rPr>
          <w:rFonts w:asciiTheme="minorEastAsia" w:hAnsiTheme="minorEastAsia" w:cs="宋体"/>
          <w:color w:val="000000"/>
          <w:kern w:val="0"/>
          <w:sz w:val="24"/>
        </w:rPr>
        <w:t>924</w:t>
      </w:r>
      <w:r w:rsidR="008532BD" w:rsidRPr="00E46206">
        <w:rPr>
          <w:rFonts w:asciiTheme="minorEastAsia" w:hAnsiTheme="minorEastAsia" w:cs="宋体" w:hint="eastAsia"/>
          <w:color w:val="000000"/>
          <w:kern w:val="0"/>
          <w:sz w:val="24"/>
        </w:rPr>
        <w:t>,</w:t>
      </w:r>
      <w:r w:rsidR="008532BD" w:rsidRPr="00E46206">
        <w:rPr>
          <w:rFonts w:asciiTheme="minorEastAsia" w:hAnsiTheme="minorEastAsia" w:cs="宋体"/>
          <w:color w:val="000000"/>
          <w:kern w:val="0"/>
          <w:sz w:val="24"/>
        </w:rPr>
        <w:t>807.86</w:t>
      </w:r>
      <w:r w:rsidR="003936C8" w:rsidRPr="00E46206">
        <w:rPr>
          <w:rFonts w:asciiTheme="minorEastAsia" w:hAnsiTheme="minorEastAsia" w:cs="宋体" w:hint="eastAsia"/>
          <w:color w:val="000000"/>
          <w:kern w:val="0"/>
          <w:sz w:val="24"/>
        </w:rPr>
        <w:t>元（不含手续费）。至此，公司本次回购股份事项实施完毕。</w:t>
      </w:r>
    </w:p>
    <w:p w:rsidR="003936C8" w:rsidRPr="00E46206" w:rsidRDefault="005515A0" w:rsidP="00E46206">
      <w:pPr>
        <w:wordWrap w:val="0"/>
        <w:spacing w:line="500" w:lineRule="exact"/>
        <w:ind w:firstLineChars="200" w:firstLine="480"/>
        <w:jc w:val="left"/>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公司本次实际回购</w:t>
      </w:r>
      <w:r w:rsidR="003936C8" w:rsidRPr="00E46206">
        <w:rPr>
          <w:rFonts w:asciiTheme="minorEastAsia" w:hAnsiTheme="minorEastAsia" w:cs="宋体" w:hint="eastAsia"/>
          <w:color w:val="000000"/>
          <w:kern w:val="0"/>
          <w:sz w:val="24"/>
        </w:rPr>
        <w:t>股份使用资金总额</w:t>
      </w:r>
      <w:r w:rsidRPr="00E46206">
        <w:rPr>
          <w:rFonts w:asciiTheme="minorEastAsia" w:hAnsiTheme="minorEastAsia" w:cs="宋体" w:hint="eastAsia"/>
          <w:color w:val="000000"/>
          <w:kern w:val="0"/>
          <w:sz w:val="24"/>
        </w:rPr>
        <w:t>为</w:t>
      </w:r>
      <w:r w:rsidR="008532BD" w:rsidRPr="00E46206">
        <w:rPr>
          <w:rFonts w:asciiTheme="minorEastAsia" w:hAnsiTheme="minorEastAsia" w:cs="宋体"/>
          <w:color w:val="000000"/>
          <w:kern w:val="0"/>
          <w:sz w:val="24"/>
        </w:rPr>
        <w:t>599</w:t>
      </w:r>
      <w:r w:rsidR="008532BD" w:rsidRPr="00E46206">
        <w:rPr>
          <w:rFonts w:asciiTheme="minorEastAsia" w:hAnsiTheme="minorEastAsia" w:cs="宋体" w:hint="eastAsia"/>
          <w:color w:val="000000"/>
          <w:kern w:val="0"/>
          <w:sz w:val="24"/>
        </w:rPr>
        <w:t>,</w:t>
      </w:r>
      <w:r w:rsidR="008532BD" w:rsidRPr="00E46206">
        <w:rPr>
          <w:rFonts w:asciiTheme="minorEastAsia" w:hAnsiTheme="minorEastAsia" w:cs="宋体"/>
          <w:color w:val="000000"/>
          <w:kern w:val="0"/>
          <w:sz w:val="24"/>
        </w:rPr>
        <w:t>924</w:t>
      </w:r>
      <w:r w:rsidR="008532BD" w:rsidRPr="00E46206">
        <w:rPr>
          <w:rFonts w:asciiTheme="minorEastAsia" w:hAnsiTheme="minorEastAsia" w:cs="宋体" w:hint="eastAsia"/>
          <w:color w:val="000000"/>
          <w:kern w:val="0"/>
          <w:sz w:val="24"/>
        </w:rPr>
        <w:t>,</w:t>
      </w:r>
      <w:r w:rsidR="008532BD" w:rsidRPr="00E46206">
        <w:rPr>
          <w:rFonts w:asciiTheme="minorEastAsia" w:hAnsiTheme="minorEastAsia" w:cs="宋体"/>
          <w:color w:val="000000"/>
          <w:kern w:val="0"/>
          <w:sz w:val="24"/>
        </w:rPr>
        <w:t>807.86</w:t>
      </w:r>
      <w:r w:rsidRPr="00E46206">
        <w:rPr>
          <w:rFonts w:asciiTheme="minorEastAsia" w:hAnsiTheme="minorEastAsia" w:cs="宋体" w:hint="eastAsia"/>
          <w:color w:val="000000"/>
          <w:kern w:val="0"/>
          <w:sz w:val="24"/>
        </w:rPr>
        <w:t>元（不含手续费），</w:t>
      </w:r>
      <w:r w:rsidR="003936C8" w:rsidRPr="00E46206">
        <w:rPr>
          <w:rFonts w:asciiTheme="minorEastAsia" w:hAnsiTheme="minorEastAsia" w:cs="宋体" w:hint="eastAsia"/>
          <w:color w:val="000000"/>
          <w:kern w:val="0"/>
          <w:sz w:val="24"/>
        </w:rPr>
        <w:t>公司</w:t>
      </w:r>
      <w:r w:rsidR="003936C8" w:rsidRPr="00E46206">
        <w:rPr>
          <w:rFonts w:asciiTheme="minorEastAsia" w:hAnsiTheme="minorEastAsia" w:cs="宋体"/>
          <w:color w:val="000000"/>
          <w:kern w:val="0"/>
          <w:sz w:val="24"/>
        </w:rPr>
        <w:t>2018</w:t>
      </w:r>
      <w:r w:rsidR="00B96D13" w:rsidRPr="00E46206">
        <w:rPr>
          <w:rFonts w:asciiTheme="minorEastAsia" w:hAnsiTheme="minorEastAsia" w:cs="宋体" w:hint="eastAsia"/>
          <w:color w:val="000000"/>
          <w:kern w:val="0"/>
          <w:sz w:val="24"/>
        </w:rPr>
        <w:t>年第二</w:t>
      </w:r>
      <w:r w:rsidRPr="00E46206">
        <w:rPr>
          <w:rFonts w:asciiTheme="minorEastAsia" w:hAnsiTheme="minorEastAsia" w:cs="宋体" w:hint="eastAsia"/>
          <w:color w:val="000000"/>
          <w:kern w:val="0"/>
          <w:sz w:val="24"/>
        </w:rPr>
        <w:t>次临时股东大会审议通过的</w:t>
      </w:r>
      <w:r w:rsidR="002109B1" w:rsidRPr="00E46206">
        <w:rPr>
          <w:rFonts w:asciiTheme="minorEastAsia" w:hAnsiTheme="minorEastAsia" w:cs="宋体" w:hint="eastAsia"/>
          <w:color w:val="000000"/>
          <w:kern w:val="0"/>
          <w:sz w:val="24"/>
        </w:rPr>
        <w:t>股份</w:t>
      </w:r>
      <w:r w:rsidRPr="00E46206">
        <w:rPr>
          <w:rFonts w:asciiTheme="minorEastAsia" w:hAnsiTheme="minorEastAsia" w:cs="宋体" w:hint="eastAsia"/>
          <w:color w:val="000000"/>
          <w:kern w:val="0"/>
          <w:sz w:val="24"/>
        </w:rPr>
        <w:t>回购方案</w:t>
      </w:r>
      <w:r w:rsidR="002109B1" w:rsidRPr="00E46206">
        <w:rPr>
          <w:rFonts w:asciiTheme="minorEastAsia" w:hAnsiTheme="minorEastAsia" w:cs="宋体" w:hint="eastAsia"/>
          <w:color w:val="000000"/>
          <w:kern w:val="0"/>
          <w:sz w:val="24"/>
        </w:rPr>
        <w:t>中，计划回购股份使用的金额范围是不少于人民币3亿元,不超过人民币6亿元</w:t>
      </w:r>
      <w:r w:rsidR="00E46206" w:rsidRPr="00E46206">
        <w:rPr>
          <w:rFonts w:asciiTheme="minorEastAsia" w:hAnsiTheme="minorEastAsia" w:cs="宋体" w:hint="eastAsia"/>
          <w:color w:val="000000"/>
          <w:kern w:val="0"/>
          <w:sz w:val="24"/>
        </w:rPr>
        <w:t>，</w:t>
      </w:r>
      <w:r w:rsidR="002109B1" w:rsidRPr="00E46206">
        <w:rPr>
          <w:rFonts w:asciiTheme="minorEastAsia" w:hAnsiTheme="minorEastAsia" w:cs="宋体" w:hint="eastAsia"/>
          <w:color w:val="000000"/>
          <w:kern w:val="0"/>
          <w:sz w:val="24"/>
        </w:rPr>
        <w:t>实际回购总金额与回购方案中的计划使用金额不存在差异。</w:t>
      </w:r>
      <w:r w:rsidRPr="00D91B6F">
        <w:rPr>
          <w:rFonts w:asciiTheme="minorEastAsia" w:hAnsiTheme="minorEastAsia" w:cs="宋体" w:hint="eastAsia"/>
          <w:color w:val="000000"/>
          <w:kern w:val="0"/>
          <w:sz w:val="24"/>
        </w:rPr>
        <w:t>回购股份数量和占总股本的比例与公司</w:t>
      </w:r>
      <w:r w:rsidRPr="00D91B6F">
        <w:rPr>
          <w:rFonts w:asciiTheme="minorEastAsia" w:hAnsiTheme="minorEastAsia" w:cs="宋体"/>
          <w:color w:val="000000"/>
          <w:kern w:val="0"/>
          <w:sz w:val="24"/>
        </w:rPr>
        <w:t>2018</w:t>
      </w:r>
      <w:r w:rsidR="00B96D13" w:rsidRPr="00D91B6F">
        <w:rPr>
          <w:rFonts w:asciiTheme="minorEastAsia" w:hAnsiTheme="minorEastAsia" w:cs="宋体" w:hint="eastAsia"/>
          <w:color w:val="000000"/>
          <w:kern w:val="0"/>
          <w:sz w:val="24"/>
        </w:rPr>
        <w:t>年第二</w:t>
      </w:r>
      <w:r w:rsidRPr="00D91B6F">
        <w:rPr>
          <w:rFonts w:asciiTheme="minorEastAsia" w:hAnsiTheme="minorEastAsia" w:cs="宋体" w:hint="eastAsia"/>
          <w:color w:val="000000"/>
          <w:kern w:val="0"/>
          <w:sz w:val="24"/>
        </w:rPr>
        <w:t>次临时股东大会审议通过的回购方案有差异，主要原因是回购方案中的测算依据是按照回购资金总额上限600,000,000.00元和回购价格上限10元/</w:t>
      </w:r>
      <w:r w:rsidR="00C16779" w:rsidRPr="00D91B6F">
        <w:rPr>
          <w:rFonts w:asciiTheme="minorEastAsia" w:hAnsiTheme="minorEastAsia" w:cs="宋体" w:hint="eastAsia"/>
          <w:color w:val="000000"/>
          <w:kern w:val="0"/>
          <w:sz w:val="24"/>
        </w:rPr>
        <w:t>股测算。测算结果为</w:t>
      </w:r>
      <w:r w:rsidR="00E46206" w:rsidRPr="00D91B6F">
        <w:rPr>
          <w:rFonts w:asciiTheme="minorEastAsia" w:hAnsiTheme="minorEastAsia" w:cs="宋体" w:hint="eastAsia"/>
          <w:color w:val="000000"/>
          <w:kern w:val="0"/>
          <w:sz w:val="24"/>
        </w:rPr>
        <w:t>预计</w:t>
      </w:r>
      <w:r w:rsidRPr="00D91B6F">
        <w:rPr>
          <w:rFonts w:asciiTheme="minorEastAsia" w:hAnsiTheme="minorEastAsia" w:cs="宋体" w:hint="eastAsia"/>
          <w:color w:val="000000"/>
          <w:kern w:val="0"/>
          <w:sz w:val="24"/>
        </w:rPr>
        <w:t>可回购股份数为60,000,000.00股，占总股本的比例为3.94%。</w:t>
      </w:r>
      <w:r w:rsidR="002109B1" w:rsidRPr="00D91B6F">
        <w:rPr>
          <w:rFonts w:asciiTheme="minorEastAsia" w:hAnsiTheme="minorEastAsia" w:cs="宋体" w:hint="eastAsia"/>
          <w:color w:val="000000"/>
          <w:kern w:val="0"/>
          <w:sz w:val="24"/>
        </w:rPr>
        <w:t>公司</w:t>
      </w:r>
      <w:r w:rsidR="00C16779" w:rsidRPr="00D91B6F">
        <w:rPr>
          <w:rFonts w:asciiTheme="minorEastAsia" w:hAnsiTheme="minorEastAsia" w:cs="宋体" w:hint="eastAsia"/>
          <w:color w:val="000000"/>
          <w:kern w:val="0"/>
          <w:sz w:val="24"/>
        </w:rPr>
        <w:t>本次</w:t>
      </w:r>
      <w:r w:rsidR="002109B1" w:rsidRPr="00D91B6F">
        <w:rPr>
          <w:rFonts w:asciiTheme="minorEastAsia" w:hAnsiTheme="minorEastAsia" w:cs="宋体" w:hint="eastAsia"/>
          <w:color w:val="000000"/>
          <w:kern w:val="0"/>
          <w:sz w:val="24"/>
        </w:rPr>
        <w:t>实际回购均价为</w:t>
      </w:r>
      <w:r w:rsidR="00D45748">
        <w:rPr>
          <w:rFonts w:asciiTheme="minorEastAsia" w:hAnsiTheme="minorEastAsia" w:cs="宋体" w:hint="eastAsia"/>
          <w:color w:val="000000"/>
          <w:kern w:val="0"/>
          <w:sz w:val="24"/>
        </w:rPr>
        <w:t>6.45</w:t>
      </w:r>
      <w:r w:rsidR="002109B1" w:rsidRPr="00D91B6F">
        <w:rPr>
          <w:rFonts w:asciiTheme="minorEastAsia" w:hAnsiTheme="minorEastAsia" w:cs="宋体" w:hint="eastAsia"/>
          <w:color w:val="000000"/>
          <w:kern w:val="0"/>
          <w:sz w:val="24"/>
        </w:rPr>
        <w:t>元/股，实际回购股份总数为92,973,035股</w:t>
      </w:r>
      <w:r w:rsidR="00C16779" w:rsidRPr="00D91B6F">
        <w:rPr>
          <w:rFonts w:asciiTheme="minorEastAsia" w:hAnsiTheme="minorEastAsia" w:cs="宋体" w:hint="eastAsia"/>
          <w:color w:val="000000"/>
          <w:kern w:val="0"/>
          <w:sz w:val="24"/>
        </w:rPr>
        <w:t>，</w:t>
      </w:r>
      <w:r w:rsidR="002109B1" w:rsidRPr="00D91B6F">
        <w:rPr>
          <w:rFonts w:asciiTheme="minorEastAsia" w:hAnsiTheme="minorEastAsia" w:cs="宋体" w:hint="eastAsia"/>
          <w:color w:val="000000"/>
          <w:kern w:val="0"/>
          <w:sz w:val="24"/>
        </w:rPr>
        <w:t>占公司总股本的比例为6.12%</w:t>
      </w:r>
      <w:r w:rsidR="009F01D2" w:rsidRPr="00D91B6F">
        <w:rPr>
          <w:rFonts w:asciiTheme="minorEastAsia" w:hAnsiTheme="minorEastAsia" w:cs="宋体" w:hint="eastAsia"/>
          <w:color w:val="000000"/>
          <w:kern w:val="0"/>
          <w:sz w:val="24"/>
        </w:rPr>
        <w:t>。鉴于</w:t>
      </w:r>
      <w:r w:rsidR="00D2093C" w:rsidRPr="00D91B6F">
        <w:rPr>
          <w:rFonts w:asciiTheme="minorEastAsia" w:hAnsiTheme="minorEastAsia" w:cs="宋体" w:hint="eastAsia"/>
          <w:color w:val="000000"/>
          <w:kern w:val="0"/>
          <w:sz w:val="24"/>
        </w:rPr>
        <w:t>公司回购股份的</w:t>
      </w:r>
      <w:r w:rsidR="009F01D2" w:rsidRPr="00D91B6F">
        <w:rPr>
          <w:rFonts w:asciiTheme="minorEastAsia" w:hAnsiTheme="minorEastAsia" w:cs="宋体" w:hint="eastAsia"/>
          <w:color w:val="000000"/>
          <w:kern w:val="0"/>
          <w:sz w:val="24"/>
        </w:rPr>
        <w:t>实际使用资金总额符合回购方案要求，仅因回购期间股价变动导致实际回购股份数量及占总股本的比例与回购方案存在差异，上述</w:t>
      </w:r>
      <w:r w:rsidR="00D2093C" w:rsidRPr="00D91B6F">
        <w:rPr>
          <w:rFonts w:asciiTheme="minorEastAsia" w:hAnsiTheme="minorEastAsia" w:cs="宋体" w:hint="eastAsia"/>
          <w:color w:val="000000"/>
          <w:kern w:val="0"/>
          <w:sz w:val="24"/>
        </w:rPr>
        <w:t>差异不会对</w:t>
      </w:r>
      <w:r w:rsidR="009F01D2" w:rsidRPr="00D91B6F">
        <w:rPr>
          <w:rFonts w:asciiTheme="minorEastAsia" w:hAnsiTheme="minorEastAsia" w:cs="宋体" w:hint="eastAsia"/>
          <w:color w:val="000000"/>
          <w:kern w:val="0"/>
          <w:sz w:val="24"/>
        </w:rPr>
        <w:t>本次回购结果和</w:t>
      </w:r>
      <w:r w:rsidR="00D2093C" w:rsidRPr="00D91B6F">
        <w:rPr>
          <w:rFonts w:asciiTheme="minorEastAsia" w:hAnsiTheme="minorEastAsia" w:cs="宋体" w:hint="eastAsia"/>
          <w:color w:val="000000"/>
          <w:kern w:val="0"/>
          <w:sz w:val="24"/>
        </w:rPr>
        <w:t>公司产生</w:t>
      </w:r>
      <w:r w:rsidR="00D45748">
        <w:rPr>
          <w:rFonts w:asciiTheme="minorEastAsia" w:hAnsiTheme="minorEastAsia" w:cs="宋体" w:hint="eastAsia"/>
          <w:color w:val="000000"/>
          <w:kern w:val="0"/>
          <w:sz w:val="24"/>
        </w:rPr>
        <w:t>经营</w:t>
      </w:r>
      <w:r w:rsidR="00D2093C" w:rsidRPr="00D91B6F">
        <w:rPr>
          <w:rFonts w:asciiTheme="minorEastAsia" w:hAnsiTheme="minorEastAsia" w:cs="宋体" w:hint="eastAsia"/>
          <w:color w:val="000000"/>
          <w:kern w:val="0"/>
          <w:sz w:val="24"/>
        </w:rPr>
        <w:t>影响。</w:t>
      </w:r>
    </w:p>
    <w:p w:rsidR="00EE5F92" w:rsidRPr="00E46206" w:rsidRDefault="00542C12" w:rsidP="00604F5E">
      <w:pPr>
        <w:spacing w:line="500" w:lineRule="exact"/>
        <w:ind w:firstLineChars="200" w:firstLine="482"/>
        <w:jc w:val="left"/>
        <w:rPr>
          <w:rFonts w:asciiTheme="minorEastAsia" w:hAnsiTheme="minorEastAsia" w:cs="宋体"/>
          <w:b/>
          <w:color w:val="000000"/>
          <w:kern w:val="0"/>
          <w:sz w:val="24"/>
        </w:rPr>
      </w:pPr>
      <w:r w:rsidRPr="00E46206">
        <w:rPr>
          <w:rFonts w:asciiTheme="minorEastAsia" w:hAnsiTheme="minorEastAsia" w:cs="宋体" w:hint="eastAsia"/>
          <w:b/>
          <w:color w:val="000000"/>
          <w:kern w:val="0"/>
          <w:sz w:val="24"/>
        </w:rPr>
        <w:t>二、回购期间相关主体买卖股票情况</w:t>
      </w:r>
    </w:p>
    <w:p w:rsidR="00B96D13" w:rsidRPr="00E46206" w:rsidRDefault="00B96D13" w:rsidP="00B96D13">
      <w:pPr>
        <w:pStyle w:val="a6"/>
        <w:shd w:val="clear" w:color="auto" w:fill="FFFFFF"/>
        <w:spacing w:before="0" w:beforeAutospacing="0" w:after="0" w:afterAutospacing="0" w:line="500" w:lineRule="exact"/>
        <w:ind w:firstLine="480"/>
        <w:rPr>
          <w:rFonts w:asciiTheme="minorEastAsia" w:hAnsiTheme="minorEastAsia"/>
          <w:color w:val="000000"/>
        </w:rPr>
      </w:pPr>
      <w:r w:rsidRPr="00E46206">
        <w:rPr>
          <w:rFonts w:asciiTheme="minorEastAsia" w:hAnsiTheme="minorEastAsia" w:hint="eastAsia"/>
          <w:color w:val="000000"/>
        </w:rPr>
        <w:t>公司于2018年7月20日公布了《关于控股股东及一致行动人增持公司股份及后续增持计划的公告》，公司控股股东华孚控股有限公司(以下简称“华孚控股”)及其一致行动人安徽飞亚纺织有限公司（以下简称“安徽飞亚”）拟于2018年7月20日至2019年1月20日期间，通过深圳证券交易所交易系统允许的方式增持公司股份占公司总股本的比例为不低于1%，不高于2%（含增持计划公告前已增持的部分），详细内容可参见《中国证券报》、《证券时报》和巨潮资讯网（www.cninfo.com.cn）上的相关公告。截止2019年1月20日，上述增持期限届满，华孚控股之一致行动人安徽飞亚在2018年7月18日至2019年1月20</w:t>
      </w:r>
      <w:r w:rsidRPr="00E46206">
        <w:rPr>
          <w:rFonts w:asciiTheme="minorEastAsia" w:hAnsiTheme="minorEastAsia" w:hint="eastAsia"/>
          <w:color w:val="000000"/>
        </w:rPr>
        <w:lastRenderedPageBreak/>
        <w:t>日期间累计增持股份数16,322,272股,占公司总股本的1.07%。详细内</w:t>
      </w:r>
      <w:r w:rsidR="00E46206">
        <w:rPr>
          <w:rFonts w:asciiTheme="minorEastAsia" w:hAnsiTheme="minorEastAsia" w:hint="eastAsia"/>
          <w:color w:val="000000"/>
        </w:rPr>
        <w:t>容</w:t>
      </w:r>
      <w:r w:rsidRPr="00E46206">
        <w:rPr>
          <w:rFonts w:asciiTheme="minorEastAsia" w:hAnsiTheme="minorEastAsia" w:hint="eastAsia"/>
          <w:color w:val="000000"/>
        </w:rPr>
        <w:t>可参见公司于2019年1月22日公告在《证券时报》、《中国证券报》及巨潮资讯网（www.cninfo.com.cn）上的相关公告。</w:t>
      </w:r>
    </w:p>
    <w:p w:rsidR="00542C12" w:rsidRPr="00E46206" w:rsidRDefault="00D45748" w:rsidP="00B96D13">
      <w:pPr>
        <w:pStyle w:val="a6"/>
        <w:shd w:val="clear" w:color="auto" w:fill="FFFFFF"/>
        <w:spacing w:before="0" w:beforeAutospacing="0" w:after="0" w:afterAutospacing="0" w:line="500" w:lineRule="exact"/>
        <w:ind w:firstLine="480"/>
        <w:rPr>
          <w:rFonts w:asciiTheme="minorEastAsia" w:hAnsiTheme="minorEastAsia"/>
          <w:color w:val="000000"/>
        </w:rPr>
      </w:pPr>
      <w:r>
        <w:rPr>
          <w:rFonts w:asciiTheme="minorEastAsia" w:hAnsiTheme="minorEastAsia" w:hint="eastAsia"/>
          <w:color w:val="000000"/>
        </w:rPr>
        <w:t>公司控股</w:t>
      </w:r>
      <w:r w:rsidR="00542C12" w:rsidRPr="00E46206">
        <w:rPr>
          <w:rFonts w:asciiTheme="minorEastAsia" w:hAnsiTheme="minorEastAsia" w:hint="eastAsia"/>
          <w:color w:val="000000"/>
        </w:rPr>
        <w:t>股东华孚控股及其一致行动人安徽飞亚基于对公司未来发展的信心和长期价值投资的认可为目的制定上述增持计划。</w:t>
      </w:r>
    </w:p>
    <w:p w:rsidR="00FF2D42" w:rsidRPr="00E46206" w:rsidRDefault="00542C12" w:rsidP="00604F5E">
      <w:pPr>
        <w:pStyle w:val="a6"/>
        <w:shd w:val="clear" w:color="auto" w:fill="FFFFFF"/>
        <w:spacing w:before="0" w:beforeAutospacing="0" w:after="0" w:afterAutospacing="0" w:line="500" w:lineRule="exact"/>
        <w:ind w:firstLine="480"/>
        <w:rPr>
          <w:rFonts w:asciiTheme="minorEastAsia" w:hAnsiTheme="minorEastAsia"/>
          <w:color w:val="000000"/>
        </w:rPr>
      </w:pPr>
      <w:r w:rsidRPr="00E46206">
        <w:rPr>
          <w:rFonts w:asciiTheme="minorEastAsia" w:hAnsiTheme="minorEastAsia" w:hint="eastAsia"/>
          <w:color w:val="000000"/>
        </w:rPr>
        <w:t>除上述情况外，</w:t>
      </w:r>
      <w:r w:rsidR="00E01049" w:rsidRPr="00E46206">
        <w:rPr>
          <w:rFonts w:asciiTheme="minorEastAsia" w:hAnsiTheme="minorEastAsia" w:hint="eastAsia"/>
          <w:color w:val="000000"/>
        </w:rPr>
        <w:t>自公司首次披露回购事项之日至回购股份实施结果暨股份变动公告前一日，公司董事、监事、高级管理人员、实际控制人</w:t>
      </w:r>
      <w:r w:rsidR="002574BA">
        <w:rPr>
          <w:rFonts w:asciiTheme="minorEastAsia" w:hAnsiTheme="minorEastAsia" w:hint="eastAsia"/>
          <w:color w:val="000000"/>
        </w:rPr>
        <w:t>、控股股东及一致行动人</w:t>
      </w:r>
      <w:bookmarkStart w:id="0" w:name="_GoBack"/>
      <w:bookmarkEnd w:id="0"/>
      <w:r w:rsidR="00E01049" w:rsidRPr="00E46206">
        <w:rPr>
          <w:rFonts w:asciiTheme="minorEastAsia" w:hAnsiTheme="minorEastAsia" w:hint="eastAsia"/>
          <w:color w:val="000000"/>
        </w:rPr>
        <w:t>不存在买卖公司股票的行为。</w:t>
      </w:r>
    </w:p>
    <w:p w:rsidR="00E01049" w:rsidRPr="00E46206" w:rsidRDefault="00E01049" w:rsidP="00604F5E">
      <w:pPr>
        <w:pStyle w:val="a6"/>
        <w:shd w:val="clear" w:color="auto" w:fill="FFFFFF"/>
        <w:spacing w:before="0" w:beforeAutospacing="0" w:after="0" w:afterAutospacing="0" w:line="500" w:lineRule="exact"/>
        <w:ind w:firstLine="480"/>
        <w:rPr>
          <w:b/>
        </w:rPr>
      </w:pPr>
      <w:r w:rsidRPr="00E46206">
        <w:rPr>
          <w:rFonts w:hint="eastAsia"/>
          <w:b/>
        </w:rPr>
        <w:t>三、股份变动情况</w:t>
      </w:r>
    </w:p>
    <w:p w:rsidR="00FF2D42" w:rsidRPr="00E46206" w:rsidRDefault="00E01049" w:rsidP="00B96D13">
      <w:pPr>
        <w:pStyle w:val="a3"/>
        <w:spacing w:after="0" w:line="500" w:lineRule="exact"/>
        <w:ind w:leftChars="0" w:left="0" w:rightChars="20" w:right="42" w:firstLineChars="185" w:firstLine="444"/>
        <w:rPr>
          <w:rFonts w:asciiTheme="minorEastAsia" w:hAnsiTheme="minorEastAsia" w:cs="宋体"/>
          <w:color w:val="000000"/>
          <w:kern w:val="0"/>
          <w:sz w:val="24"/>
        </w:rPr>
      </w:pPr>
      <w:r w:rsidRPr="00E46206">
        <w:rPr>
          <w:rFonts w:asciiTheme="minorEastAsia" w:hAnsiTheme="minorEastAsia" w:cs="宋体" w:hint="eastAsia"/>
          <w:color w:val="000000"/>
          <w:kern w:val="0"/>
          <w:sz w:val="24"/>
        </w:rPr>
        <w:t>公司本次最终回购股份数量为</w:t>
      </w:r>
      <w:r w:rsidR="008532BD" w:rsidRPr="00E46206">
        <w:rPr>
          <w:rFonts w:asciiTheme="minorEastAsia" w:hAnsiTheme="minorEastAsia" w:cs="宋体" w:hint="eastAsia"/>
          <w:color w:val="000000"/>
          <w:kern w:val="0"/>
          <w:sz w:val="24"/>
        </w:rPr>
        <w:t>92,973,035</w:t>
      </w:r>
      <w:r w:rsidRPr="00E46206">
        <w:rPr>
          <w:rFonts w:asciiTheme="minorEastAsia" w:hAnsiTheme="minorEastAsia" w:cs="宋体" w:hint="eastAsia"/>
          <w:color w:val="000000"/>
          <w:kern w:val="0"/>
          <w:sz w:val="24"/>
        </w:rPr>
        <w:t>股，按照截至本公告日公司股本结构及回购公司股份用途（本次回购股份用途为全部用于转换成公司发行的可转换为股票的公司债券</w:t>
      </w:r>
      <w:r w:rsidR="008532BD" w:rsidRPr="00E46206">
        <w:rPr>
          <w:rFonts w:asciiTheme="minorEastAsia" w:hAnsiTheme="minorEastAsia" w:cs="宋体" w:hint="eastAsia"/>
          <w:color w:val="000000"/>
          <w:kern w:val="0"/>
          <w:sz w:val="24"/>
        </w:rPr>
        <w:t>，假设</w:t>
      </w:r>
      <w:r w:rsidR="00E46206">
        <w:rPr>
          <w:rFonts w:asciiTheme="minorEastAsia" w:hAnsiTheme="minorEastAsia" w:cs="宋体" w:hint="eastAsia"/>
          <w:color w:val="000000"/>
          <w:kern w:val="0"/>
          <w:sz w:val="24"/>
        </w:rPr>
        <w:t>回购的股份</w:t>
      </w:r>
      <w:r w:rsidR="008532BD" w:rsidRPr="00E46206">
        <w:rPr>
          <w:rFonts w:asciiTheme="minorEastAsia" w:hAnsiTheme="minorEastAsia" w:cs="宋体" w:hint="eastAsia"/>
          <w:color w:val="000000"/>
          <w:kern w:val="0"/>
          <w:sz w:val="24"/>
        </w:rPr>
        <w:t>转换成公司发行的可转换公司债券后全部为无限售条件流通股</w:t>
      </w:r>
      <w:r w:rsidRPr="00E46206">
        <w:rPr>
          <w:rFonts w:asciiTheme="minorEastAsia" w:hAnsiTheme="minorEastAsia" w:cs="宋体" w:hint="eastAsia"/>
          <w:color w:val="000000"/>
          <w:kern w:val="0"/>
          <w:sz w:val="24"/>
        </w:rPr>
        <w:t>）计算，则本次回购股份可能带来的</w:t>
      </w:r>
      <w:r w:rsidR="00E46206">
        <w:rPr>
          <w:rFonts w:asciiTheme="minorEastAsia" w:hAnsiTheme="minorEastAsia" w:cs="宋体" w:hint="eastAsia"/>
          <w:color w:val="000000"/>
          <w:kern w:val="0"/>
          <w:sz w:val="24"/>
        </w:rPr>
        <w:t>股本</w:t>
      </w:r>
      <w:r w:rsidRPr="00E46206">
        <w:rPr>
          <w:rFonts w:asciiTheme="minorEastAsia" w:hAnsiTheme="minorEastAsia" w:cs="宋体" w:hint="eastAsia"/>
          <w:color w:val="000000"/>
          <w:kern w:val="0"/>
          <w:sz w:val="24"/>
        </w:rPr>
        <w:t>变动情况如下：</w:t>
      </w:r>
    </w:p>
    <w:tbl>
      <w:tblPr>
        <w:tblStyle w:val="a7"/>
        <w:tblW w:w="0" w:type="auto"/>
        <w:tblLook w:val="04A0" w:firstRow="1" w:lastRow="0" w:firstColumn="1" w:lastColumn="0" w:noHBand="0" w:noVBand="1"/>
      </w:tblPr>
      <w:tblGrid>
        <w:gridCol w:w="2241"/>
        <w:gridCol w:w="1818"/>
        <w:gridCol w:w="1353"/>
        <w:gridCol w:w="1818"/>
        <w:gridCol w:w="1292"/>
      </w:tblGrid>
      <w:tr w:rsidR="00E01049" w:rsidTr="00871BB0">
        <w:tc>
          <w:tcPr>
            <w:tcW w:w="2344" w:type="dxa"/>
            <w:vMerge w:val="restart"/>
          </w:tcPr>
          <w:p w:rsidR="00E01049" w:rsidRPr="00E46206" w:rsidRDefault="00E01049" w:rsidP="00E01049">
            <w:pPr>
              <w:pStyle w:val="a3"/>
              <w:spacing w:line="400" w:lineRule="exact"/>
              <w:ind w:leftChars="0" w:left="0" w:rightChars="20" w:right="42"/>
              <w:rPr>
                <w:sz w:val="24"/>
              </w:rPr>
            </w:pPr>
          </w:p>
        </w:tc>
        <w:tc>
          <w:tcPr>
            <w:tcW w:w="3121" w:type="dxa"/>
            <w:gridSpan w:val="2"/>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变动前</w:t>
            </w:r>
          </w:p>
        </w:tc>
        <w:tc>
          <w:tcPr>
            <w:tcW w:w="3057" w:type="dxa"/>
            <w:gridSpan w:val="2"/>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变动后</w:t>
            </w:r>
          </w:p>
        </w:tc>
      </w:tr>
      <w:tr w:rsidR="00E01049" w:rsidTr="00871BB0">
        <w:tc>
          <w:tcPr>
            <w:tcW w:w="2344" w:type="dxa"/>
            <w:vMerge/>
          </w:tcPr>
          <w:p w:rsidR="00E01049" w:rsidRPr="00E46206" w:rsidRDefault="00E01049" w:rsidP="00E01049">
            <w:pPr>
              <w:pStyle w:val="a3"/>
              <w:spacing w:line="400" w:lineRule="exact"/>
              <w:ind w:leftChars="0" w:left="0" w:rightChars="20" w:right="42"/>
              <w:rPr>
                <w:sz w:val="24"/>
              </w:rPr>
            </w:pPr>
          </w:p>
        </w:tc>
        <w:tc>
          <w:tcPr>
            <w:tcW w:w="1753" w:type="dxa"/>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数量（股）</w:t>
            </w:r>
          </w:p>
        </w:tc>
        <w:tc>
          <w:tcPr>
            <w:tcW w:w="1368" w:type="dxa"/>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占比</w:t>
            </w:r>
          </w:p>
        </w:tc>
        <w:tc>
          <w:tcPr>
            <w:tcW w:w="1753" w:type="dxa"/>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数量（股）</w:t>
            </w:r>
          </w:p>
        </w:tc>
        <w:tc>
          <w:tcPr>
            <w:tcW w:w="1304" w:type="dxa"/>
            <w:vAlign w:val="center"/>
          </w:tcPr>
          <w:p w:rsidR="00E01049" w:rsidRPr="00E46206" w:rsidRDefault="00E01049" w:rsidP="00871BB0">
            <w:pPr>
              <w:pStyle w:val="a3"/>
              <w:spacing w:line="400" w:lineRule="exact"/>
              <w:ind w:leftChars="0" w:left="0" w:rightChars="20" w:right="42"/>
              <w:jc w:val="center"/>
              <w:rPr>
                <w:sz w:val="24"/>
              </w:rPr>
            </w:pPr>
            <w:r w:rsidRPr="00E46206">
              <w:rPr>
                <w:rFonts w:hint="eastAsia"/>
                <w:sz w:val="24"/>
              </w:rPr>
              <w:t>占比</w:t>
            </w:r>
          </w:p>
        </w:tc>
      </w:tr>
      <w:tr w:rsidR="00E01049" w:rsidTr="00871BB0">
        <w:tc>
          <w:tcPr>
            <w:tcW w:w="2344" w:type="dxa"/>
            <w:vAlign w:val="center"/>
          </w:tcPr>
          <w:p w:rsidR="00E01049" w:rsidRPr="00E46206" w:rsidRDefault="00E01049" w:rsidP="00871BB0">
            <w:pPr>
              <w:pStyle w:val="a3"/>
              <w:spacing w:line="400" w:lineRule="exact"/>
              <w:ind w:leftChars="0" w:left="0" w:rightChars="20" w:right="42"/>
              <w:rPr>
                <w:sz w:val="24"/>
              </w:rPr>
            </w:pPr>
            <w:r w:rsidRPr="00E46206">
              <w:rPr>
                <w:rFonts w:hint="eastAsia"/>
                <w:sz w:val="24"/>
              </w:rPr>
              <w:t>限售条件流通股</w:t>
            </w:r>
          </w:p>
        </w:tc>
        <w:tc>
          <w:tcPr>
            <w:tcW w:w="1753"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1,533,937</w:t>
            </w:r>
          </w:p>
        </w:tc>
        <w:tc>
          <w:tcPr>
            <w:tcW w:w="1368"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0.10%</w:t>
            </w:r>
          </w:p>
        </w:tc>
        <w:tc>
          <w:tcPr>
            <w:tcW w:w="1753"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1,533,937</w:t>
            </w:r>
          </w:p>
        </w:tc>
        <w:tc>
          <w:tcPr>
            <w:tcW w:w="1304"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0.10%</w:t>
            </w:r>
          </w:p>
        </w:tc>
      </w:tr>
      <w:tr w:rsidR="00E01049" w:rsidTr="00871BB0">
        <w:tc>
          <w:tcPr>
            <w:tcW w:w="2344" w:type="dxa"/>
            <w:vAlign w:val="center"/>
          </w:tcPr>
          <w:p w:rsidR="00E01049" w:rsidRPr="00E46206" w:rsidRDefault="00E01049" w:rsidP="00871BB0">
            <w:pPr>
              <w:pStyle w:val="a3"/>
              <w:spacing w:line="400" w:lineRule="exact"/>
              <w:ind w:leftChars="0" w:left="0" w:rightChars="20" w:right="42"/>
              <w:rPr>
                <w:sz w:val="24"/>
              </w:rPr>
            </w:pPr>
            <w:r w:rsidRPr="00E46206">
              <w:rPr>
                <w:rFonts w:hint="eastAsia"/>
                <w:sz w:val="24"/>
              </w:rPr>
              <w:t>无限售条件流通股</w:t>
            </w:r>
          </w:p>
        </w:tc>
        <w:tc>
          <w:tcPr>
            <w:tcW w:w="1753"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1,517,841,618</w:t>
            </w:r>
          </w:p>
        </w:tc>
        <w:tc>
          <w:tcPr>
            <w:tcW w:w="1368"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99.90%</w:t>
            </w:r>
          </w:p>
        </w:tc>
        <w:tc>
          <w:tcPr>
            <w:tcW w:w="1753"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1,517,841,618</w:t>
            </w:r>
          </w:p>
        </w:tc>
        <w:tc>
          <w:tcPr>
            <w:tcW w:w="1304"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99.90%</w:t>
            </w:r>
          </w:p>
        </w:tc>
      </w:tr>
      <w:tr w:rsidR="00E01049" w:rsidTr="00871BB0">
        <w:tc>
          <w:tcPr>
            <w:tcW w:w="2344" w:type="dxa"/>
            <w:vAlign w:val="center"/>
          </w:tcPr>
          <w:p w:rsidR="00E01049" w:rsidRPr="00E46206" w:rsidRDefault="00E01049" w:rsidP="00871BB0">
            <w:pPr>
              <w:pStyle w:val="a3"/>
              <w:spacing w:line="400" w:lineRule="exact"/>
              <w:ind w:leftChars="0" w:left="0" w:rightChars="20" w:right="42"/>
              <w:jc w:val="left"/>
              <w:rPr>
                <w:sz w:val="24"/>
              </w:rPr>
            </w:pPr>
            <w:r w:rsidRPr="00E46206">
              <w:rPr>
                <w:rFonts w:hint="eastAsia"/>
                <w:sz w:val="24"/>
              </w:rPr>
              <w:t>总股本</w:t>
            </w:r>
          </w:p>
        </w:tc>
        <w:tc>
          <w:tcPr>
            <w:tcW w:w="1753" w:type="dxa"/>
            <w:vAlign w:val="center"/>
          </w:tcPr>
          <w:p w:rsidR="00E01049" w:rsidRPr="00E46206" w:rsidRDefault="00E01049"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w:t>
            </w:r>
            <w:r w:rsidR="00871BB0" w:rsidRPr="00E46206">
              <w:rPr>
                <w:rFonts w:asciiTheme="minorEastAsia" w:eastAsiaTheme="minorEastAsia" w:hAnsiTheme="minorEastAsia" w:hint="eastAsia"/>
                <w:sz w:val="24"/>
              </w:rPr>
              <w:t>,</w:t>
            </w:r>
            <w:r w:rsidRPr="00E46206">
              <w:rPr>
                <w:rFonts w:asciiTheme="minorEastAsia" w:eastAsiaTheme="minorEastAsia" w:hAnsiTheme="minorEastAsia" w:hint="eastAsia"/>
                <w:sz w:val="24"/>
              </w:rPr>
              <w:t>519</w:t>
            </w:r>
            <w:r w:rsidR="00871BB0" w:rsidRPr="00E46206">
              <w:rPr>
                <w:rFonts w:asciiTheme="minorEastAsia" w:eastAsiaTheme="minorEastAsia" w:hAnsiTheme="minorEastAsia" w:hint="eastAsia"/>
                <w:sz w:val="24"/>
              </w:rPr>
              <w:t>,</w:t>
            </w:r>
            <w:r w:rsidRPr="00E46206">
              <w:rPr>
                <w:rFonts w:asciiTheme="minorEastAsia" w:eastAsiaTheme="minorEastAsia" w:hAnsiTheme="minorEastAsia" w:hint="eastAsia"/>
                <w:sz w:val="24"/>
              </w:rPr>
              <w:t>375</w:t>
            </w:r>
            <w:r w:rsidR="00871BB0" w:rsidRPr="00E46206">
              <w:rPr>
                <w:rFonts w:asciiTheme="minorEastAsia" w:eastAsiaTheme="minorEastAsia" w:hAnsiTheme="minorEastAsia" w:hint="eastAsia"/>
                <w:sz w:val="24"/>
              </w:rPr>
              <w:t>,</w:t>
            </w:r>
            <w:r w:rsidRPr="00E46206">
              <w:rPr>
                <w:rFonts w:asciiTheme="minorEastAsia" w:eastAsiaTheme="minorEastAsia" w:hAnsiTheme="minorEastAsia" w:hint="eastAsia"/>
                <w:sz w:val="24"/>
              </w:rPr>
              <w:t>555</w:t>
            </w:r>
          </w:p>
        </w:tc>
        <w:tc>
          <w:tcPr>
            <w:tcW w:w="1368"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100.00%</w:t>
            </w:r>
          </w:p>
        </w:tc>
        <w:tc>
          <w:tcPr>
            <w:tcW w:w="1753"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1,519,375,555</w:t>
            </w:r>
          </w:p>
        </w:tc>
        <w:tc>
          <w:tcPr>
            <w:tcW w:w="1304" w:type="dxa"/>
            <w:vAlign w:val="center"/>
          </w:tcPr>
          <w:p w:rsidR="00E01049" w:rsidRPr="00E46206" w:rsidRDefault="00871BB0" w:rsidP="00871BB0">
            <w:pPr>
              <w:pStyle w:val="a3"/>
              <w:spacing w:line="400" w:lineRule="exact"/>
              <w:ind w:leftChars="0" w:left="0" w:rightChars="20" w:right="42"/>
              <w:jc w:val="right"/>
              <w:rPr>
                <w:rFonts w:asciiTheme="minorEastAsia" w:eastAsiaTheme="minorEastAsia" w:hAnsiTheme="minorEastAsia"/>
                <w:sz w:val="24"/>
              </w:rPr>
            </w:pPr>
            <w:r w:rsidRPr="00E46206">
              <w:rPr>
                <w:rFonts w:asciiTheme="minorEastAsia" w:eastAsiaTheme="minorEastAsia" w:hAnsiTheme="minorEastAsia" w:hint="eastAsia"/>
                <w:sz w:val="24"/>
              </w:rPr>
              <w:t>100.00%</w:t>
            </w:r>
          </w:p>
        </w:tc>
      </w:tr>
    </w:tbl>
    <w:p w:rsidR="00871BB0" w:rsidRPr="00604F5E" w:rsidRDefault="00871BB0" w:rsidP="00B96D13">
      <w:pPr>
        <w:pStyle w:val="Default"/>
        <w:spacing w:line="500" w:lineRule="exact"/>
        <w:ind w:firstLineChars="200" w:firstLine="482"/>
        <w:rPr>
          <w:b/>
        </w:rPr>
      </w:pPr>
      <w:r w:rsidRPr="00604F5E">
        <w:rPr>
          <w:rFonts w:hint="eastAsia"/>
          <w:b/>
        </w:rPr>
        <w:t>四、本次回购对公司的影响</w:t>
      </w:r>
      <w:r w:rsidRPr="00604F5E">
        <w:rPr>
          <w:b/>
        </w:rPr>
        <w:t xml:space="preserve"> </w:t>
      </w:r>
    </w:p>
    <w:p w:rsidR="00E01049" w:rsidRPr="00B96D13" w:rsidRDefault="00871BB0" w:rsidP="00604F5E">
      <w:pPr>
        <w:pStyle w:val="a3"/>
        <w:spacing w:after="0" w:line="500" w:lineRule="exact"/>
        <w:ind w:leftChars="0" w:left="0" w:rightChars="20" w:right="42" w:firstLineChars="184" w:firstLine="442"/>
        <w:rPr>
          <w:rFonts w:ascii="宋体" w:hAnsiTheme="minorHAnsi" w:cs="宋体"/>
          <w:color w:val="000000"/>
          <w:kern w:val="0"/>
          <w:sz w:val="24"/>
        </w:rPr>
      </w:pPr>
      <w:r w:rsidRPr="00B96D13">
        <w:rPr>
          <w:rFonts w:ascii="宋体" w:hAnsiTheme="minorHAnsi" w:cs="宋体" w:hint="eastAsia"/>
          <w:color w:val="000000"/>
          <w:kern w:val="0"/>
          <w:sz w:val="24"/>
        </w:rPr>
        <w:t>本次回购不会对公司的财务、经营、研发、债务履行能力和未来发展产生重大影响。本次回购实施完成后，不会导致公司控制权发生变化，也不会改变公司的上市公司地位，股权分布情况仍然符合上市的条件。</w:t>
      </w:r>
    </w:p>
    <w:p w:rsidR="00871BB0" w:rsidRPr="00604F5E" w:rsidRDefault="00871BB0" w:rsidP="00B96D13">
      <w:pPr>
        <w:pStyle w:val="Default"/>
        <w:spacing w:line="500" w:lineRule="exact"/>
        <w:ind w:firstLineChars="184" w:firstLine="443"/>
        <w:rPr>
          <w:b/>
        </w:rPr>
      </w:pPr>
      <w:r w:rsidRPr="00604F5E">
        <w:rPr>
          <w:rFonts w:hint="eastAsia"/>
          <w:b/>
        </w:rPr>
        <w:t>五、其他</w:t>
      </w:r>
      <w:r w:rsidRPr="00604F5E">
        <w:rPr>
          <w:b/>
        </w:rPr>
        <w:t xml:space="preserve"> </w:t>
      </w:r>
    </w:p>
    <w:p w:rsidR="00871BB0" w:rsidRPr="00604F5E" w:rsidRDefault="00871BB0" w:rsidP="00604F5E">
      <w:pPr>
        <w:pStyle w:val="Default"/>
        <w:spacing w:line="500" w:lineRule="exact"/>
        <w:ind w:firstLineChars="184" w:firstLine="442"/>
      </w:pPr>
      <w:r w:rsidRPr="00604F5E">
        <w:rPr>
          <w:rFonts w:hint="eastAsia"/>
        </w:rPr>
        <w:t>公司回购股份的时间、回购股份数量及集中竞价交易的委托时间段符合《深圳证券交易所上市公司回购股份实施细则》第十七条、十八条、十九条的相关规定。</w:t>
      </w:r>
      <w:r w:rsidRPr="00604F5E">
        <w:t xml:space="preserve"> </w:t>
      </w:r>
    </w:p>
    <w:p w:rsidR="00871BB0" w:rsidRPr="00604F5E" w:rsidRDefault="00871BB0" w:rsidP="00604F5E">
      <w:pPr>
        <w:pStyle w:val="Default"/>
        <w:spacing w:line="500" w:lineRule="exact"/>
        <w:ind w:firstLineChars="184" w:firstLine="442"/>
      </w:pPr>
      <w:r w:rsidRPr="00604F5E">
        <w:lastRenderedPageBreak/>
        <w:t>1</w:t>
      </w:r>
      <w:r w:rsidRPr="00604F5E">
        <w:rPr>
          <w:rFonts w:hint="eastAsia"/>
        </w:rPr>
        <w:t>、未在下列期间内回购公司股票：</w:t>
      </w:r>
      <w:r w:rsidRPr="00604F5E">
        <w:t xml:space="preserve"> </w:t>
      </w:r>
    </w:p>
    <w:p w:rsidR="00871BB0" w:rsidRPr="00604F5E" w:rsidRDefault="00871BB0" w:rsidP="00604F5E">
      <w:pPr>
        <w:pStyle w:val="Default"/>
        <w:spacing w:line="500" w:lineRule="exact"/>
        <w:ind w:firstLineChars="184" w:firstLine="442"/>
      </w:pPr>
      <w:r w:rsidRPr="00604F5E">
        <w:t>1</w:t>
      </w:r>
      <w:r w:rsidRPr="00604F5E">
        <w:rPr>
          <w:rFonts w:hint="eastAsia"/>
        </w:rPr>
        <w:t>）公司定期报告、业绩预告或业绩快报公告前</w:t>
      </w:r>
      <w:r w:rsidRPr="00604F5E">
        <w:t>10</w:t>
      </w:r>
      <w:r w:rsidRPr="00604F5E">
        <w:rPr>
          <w:rFonts w:hint="eastAsia"/>
        </w:rPr>
        <w:t>个交易日内</w:t>
      </w:r>
      <w:r w:rsidR="00D2093C">
        <w:rPr>
          <w:rFonts w:hint="eastAsia"/>
        </w:rPr>
        <w:t>（公司2018年度业绩快报窗口期为2019年2月14日至2019年2月27日，2018年度报告窗口期为2019年4月11日至2019年4月24日）</w:t>
      </w:r>
      <w:r w:rsidRPr="00604F5E">
        <w:rPr>
          <w:rFonts w:hint="eastAsia"/>
        </w:rPr>
        <w:t>；</w:t>
      </w:r>
      <w:r w:rsidRPr="00604F5E">
        <w:t xml:space="preserve"> </w:t>
      </w:r>
    </w:p>
    <w:p w:rsidR="00871BB0" w:rsidRPr="00604F5E" w:rsidRDefault="00871BB0" w:rsidP="00604F5E">
      <w:pPr>
        <w:pStyle w:val="Default"/>
        <w:spacing w:line="500" w:lineRule="exact"/>
        <w:ind w:firstLineChars="184" w:firstLine="442"/>
      </w:pPr>
      <w:r w:rsidRPr="00604F5E">
        <w:t>2</w:t>
      </w:r>
      <w:r w:rsidRPr="00604F5E">
        <w:rPr>
          <w:rFonts w:hint="eastAsia"/>
        </w:rPr>
        <w:t>）自可能对公司股票交易价格产生重大影响的重大事项发生之日或者在决策过程中，至依法披露后</w:t>
      </w:r>
      <w:r w:rsidRPr="00604F5E">
        <w:t>2</w:t>
      </w:r>
      <w:r w:rsidRPr="00604F5E">
        <w:rPr>
          <w:rFonts w:hint="eastAsia"/>
        </w:rPr>
        <w:t>个交易日内；</w:t>
      </w:r>
      <w:r w:rsidRPr="00604F5E">
        <w:t xml:space="preserve"> </w:t>
      </w:r>
    </w:p>
    <w:p w:rsidR="00871BB0" w:rsidRPr="00604F5E" w:rsidRDefault="00871BB0" w:rsidP="00604F5E">
      <w:pPr>
        <w:pStyle w:val="Default"/>
        <w:spacing w:line="500" w:lineRule="exact"/>
        <w:ind w:firstLineChars="184" w:firstLine="442"/>
      </w:pPr>
      <w:r w:rsidRPr="00604F5E">
        <w:t>3</w:t>
      </w:r>
      <w:r w:rsidRPr="00604F5E">
        <w:rPr>
          <w:rFonts w:hint="eastAsia"/>
        </w:rPr>
        <w:t>）中国证监会及深圳证券交易所规定的其他情形。</w:t>
      </w:r>
      <w:r w:rsidRPr="00604F5E">
        <w:t xml:space="preserve"> </w:t>
      </w:r>
    </w:p>
    <w:p w:rsidR="00871BB0" w:rsidRPr="00604F5E" w:rsidRDefault="00871BB0" w:rsidP="00604F5E">
      <w:pPr>
        <w:pStyle w:val="Default"/>
        <w:spacing w:line="500" w:lineRule="exact"/>
        <w:ind w:firstLineChars="184" w:firstLine="442"/>
      </w:pPr>
      <w:r w:rsidRPr="00604F5E">
        <w:t>2</w:t>
      </w:r>
      <w:r w:rsidRPr="00604F5E">
        <w:rPr>
          <w:rFonts w:hint="eastAsia"/>
        </w:rPr>
        <w:t>、未在下列交易时间进行回购股份的委托：</w:t>
      </w:r>
      <w:r w:rsidRPr="00604F5E">
        <w:t xml:space="preserve"> </w:t>
      </w:r>
    </w:p>
    <w:p w:rsidR="00871BB0" w:rsidRPr="00604F5E" w:rsidRDefault="00871BB0" w:rsidP="00604F5E">
      <w:pPr>
        <w:pStyle w:val="Default"/>
        <w:spacing w:line="500" w:lineRule="exact"/>
        <w:ind w:firstLineChars="184" w:firstLine="442"/>
      </w:pPr>
      <w:r w:rsidRPr="00604F5E">
        <w:t>1</w:t>
      </w:r>
      <w:r w:rsidRPr="00604F5E">
        <w:rPr>
          <w:rFonts w:hint="eastAsia"/>
        </w:rPr>
        <w:t>）开盘集合竞价；</w:t>
      </w:r>
      <w:r w:rsidRPr="00604F5E">
        <w:t xml:space="preserve"> </w:t>
      </w:r>
    </w:p>
    <w:p w:rsidR="00871BB0" w:rsidRPr="00604F5E" w:rsidRDefault="00871BB0" w:rsidP="00604F5E">
      <w:pPr>
        <w:pStyle w:val="Default"/>
        <w:spacing w:line="500" w:lineRule="exact"/>
        <w:ind w:firstLineChars="184" w:firstLine="442"/>
      </w:pPr>
      <w:r w:rsidRPr="00604F5E">
        <w:t>2</w:t>
      </w:r>
      <w:r w:rsidRPr="00604F5E">
        <w:rPr>
          <w:rFonts w:hint="eastAsia"/>
        </w:rPr>
        <w:t>）收盘前半小时内。</w:t>
      </w:r>
      <w:r w:rsidRPr="00604F5E">
        <w:t xml:space="preserve"> </w:t>
      </w:r>
    </w:p>
    <w:p w:rsidR="00871BB0" w:rsidRPr="00604F5E" w:rsidRDefault="00871BB0" w:rsidP="00604F5E">
      <w:pPr>
        <w:pStyle w:val="Default"/>
        <w:spacing w:line="500" w:lineRule="exact"/>
        <w:ind w:firstLineChars="200" w:firstLine="480"/>
      </w:pPr>
      <w:r w:rsidRPr="00604F5E">
        <w:t>3</w:t>
      </w:r>
      <w:r w:rsidRPr="00604F5E">
        <w:rPr>
          <w:rFonts w:hint="eastAsia"/>
        </w:rPr>
        <w:t>、自公司实施回购股份计划之日起，公司每五个交易日最大回购股份</w:t>
      </w:r>
      <w:r w:rsidRPr="00B96D13">
        <w:rPr>
          <w:rFonts w:hint="eastAsia"/>
        </w:rPr>
        <w:t>数量</w:t>
      </w:r>
      <w:r w:rsidR="00525932">
        <w:rPr>
          <w:rFonts w:hint="eastAsia"/>
        </w:rPr>
        <w:t>为</w:t>
      </w:r>
      <w:r w:rsidR="00B96D13" w:rsidRPr="00B96D13">
        <w:t>12</w:t>
      </w:r>
      <w:r w:rsidR="00B96D13">
        <w:rPr>
          <w:rFonts w:hint="eastAsia"/>
        </w:rPr>
        <w:t>,</w:t>
      </w:r>
      <w:r w:rsidR="00B96D13" w:rsidRPr="00B96D13">
        <w:t>441</w:t>
      </w:r>
      <w:r w:rsidR="00B96D13">
        <w:rPr>
          <w:rFonts w:hint="eastAsia"/>
        </w:rPr>
        <w:t>,</w:t>
      </w:r>
      <w:r w:rsidR="00B96D13" w:rsidRPr="00B96D13">
        <w:t>750</w:t>
      </w:r>
      <w:r w:rsidR="00604F5E" w:rsidRPr="00B96D13">
        <w:rPr>
          <w:rFonts w:hint="eastAsia"/>
        </w:rPr>
        <w:t>股</w:t>
      </w:r>
      <w:r w:rsidRPr="00604F5E">
        <w:rPr>
          <w:rFonts w:hint="eastAsia"/>
        </w:rPr>
        <w:t>（</w:t>
      </w:r>
      <w:r w:rsidR="00525932">
        <w:rPr>
          <w:rFonts w:hint="eastAsia"/>
        </w:rPr>
        <w:t>2019年4月9日、2019年4月10日、2019年4月25日、2019年4月26日、2019年4月29日，公司在该连续五个回购日回购股数合计为12,441,750股,2019年4月11日至2019年4月24日为回购窗口期，在此期间，公司未实施回购</w:t>
      </w:r>
      <w:r w:rsidR="00B04108">
        <w:rPr>
          <w:rFonts w:hint="eastAsia"/>
        </w:rPr>
        <w:t>），未超过</w:t>
      </w:r>
      <w:r w:rsidRPr="00604F5E">
        <w:rPr>
          <w:rFonts w:hint="eastAsia"/>
        </w:rPr>
        <w:t>公司首次回购股份事实发生之日（</w:t>
      </w:r>
      <w:r w:rsidRPr="00604F5E">
        <w:t>2018</w:t>
      </w:r>
      <w:r w:rsidR="00604F5E">
        <w:rPr>
          <w:rFonts w:hint="eastAsia"/>
        </w:rPr>
        <w:t>年11</w:t>
      </w:r>
      <w:r w:rsidRPr="00604F5E">
        <w:rPr>
          <w:rFonts w:hint="eastAsia"/>
        </w:rPr>
        <w:t>月</w:t>
      </w:r>
      <w:r w:rsidR="00604F5E">
        <w:t>2</w:t>
      </w:r>
      <w:r w:rsidR="00604F5E">
        <w:rPr>
          <w:rFonts w:hint="eastAsia"/>
        </w:rPr>
        <w:t>1</w:t>
      </w:r>
      <w:r w:rsidRPr="00604F5E">
        <w:rPr>
          <w:rFonts w:hint="eastAsia"/>
        </w:rPr>
        <w:t>日）前五个交易日公司股份成交量之和</w:t>
      </w:r>
      <w:r w:rsidR="00604F5E" w:rsidRPr="00604F5E">
        <w:rPr>
          <w:rFonts w:hint="eastAsia"/>
        </w:rPr>
        <w:t>83,066,545</w:t>
      </w:r>
      <w:r w:rsidRPr="00604F5E">
        <w:rPr>
          <w:rFonts w:hint="eastAsia"/>
        </w:rPr>
        <w:t>股的</w:t>
      </w:r>
      <w:r w:rsidRPr="00604F5E">
        <w:t>25%</w:t>
      </w:r>
      <w:r w:rsidRPr="00604F5E">
        <w:rPr>
          <w:rFonts w:hint="eastAsia"/>
        </w:rPr>
        <w:t>（即</w:t>
      </w:r>
      <w:r w:rsidRPr="00604F5E">
        <w:t>20,</w:t>
      </w:r>
      <w:r w:rsidR="00604F5E">
        <w:rPr>
          <w:rFonts w:hint="eastAsia"/>
        </w:rPr>
        <w:t>766</w:t>
      </w:r>
      <w:r w:rsidR="00604F5E">
        <w:t>,</w:t>
      </w:r>
      <w:r w:rsidR="00604F5E">
        <w:rPr>
          <w:rFonts w:hint="eastAsia"/>
        </w:rPr>
        <w:t>636</w:t>
      </w:r>
      <w:r w:rsidRPr="00604F5E">
        <w:rPr>
          <w:rFonts w:hint="eastAsia"/>
        </w:rPr>
        <w:t>股）。</w:t>
      </w:r>
      <w:r w:rsidRPr="00604F5E">
        <w:t xml:space="preserve"> </w:t>
      </w:r>
    </w:p>
    <w:p w:rsidR="00871BB0" w:rsidRPr="00B96D13" w:rsidRDefault="00871BB0" w:rsidP="00B96D13">
      <w:pPr>
        <w:pStyle w:val="Default"/>
        <w:spacing w:line="500" w:lineRule="exact"/>
        <w:ind w:firstLineChars="184" w:firstLine="443"/>
        <w:rPr>
          <w:b/>
        </w:rPr>
      </w:pPr>
      <w:r w:rsidRPr="00B96D13">
        <w:rPr>
          <w:rFonts w:hint="eastAsia"/>
          <w:b/>
        </w:rPr>
        <w:t>六、已回购股份的后续安排</w:t>
      </w:r>
      <w:r w:rsidRPr="00B96D13">
        <w:rPr>
          <w:b/>
        </w:rPr>
        <w:t xml:space="preserve"> </w:t>
      </w:r>
    </w:p>
    <w:p w:rsidR="0008319A" w:rsidRDefault="00871BB0" w:rsidP="00604F5E">
      <w:pPr>
        <w:pStyle w:val="Default"/>
        <w:wordWrap w:val="0"/>
        <w:spacing w:line="500" w:lineRule="exact"/>
        <w:ind w:firstLineChars="184" w:firstLine="442"/>
      </w:pPr>
      <w:r w:rsidRPr="00604F5E">
        <w:rPr>
          <w:rFonts w:hint="eastAsia"/>
        </w:rPr>
        <w:t>本次回购的股份存放于公司回购专用证券账户，在此期间已回购的股份不享有股东大会表决权、利润分配、公积金转增股本、配股、质押等相关权利。</w:t>
      </w:r>
    </w:p>
    <w:p w:rsidR="00871BB0" w:rsidRPr="00604F5E" w:rsidRDefault="00871BB0" w:rsidP="00604F5E">
      <w:pPr>
        <w:pStyle w:val="Default"/>
        <w:wordWrap w:val="0"/>
        <w:spacing w:line="500" w:lineRule="exact"/>
        <w:ind w:firstLineChars="184" w:firstLine="442"/>
      </w:pPr>
      <w:r w:rsidRPr="00604F5E">
        <w:rPr>
          <w:rFonts w:hint="eastAsia"/>
        </w:rPr>
        <w:t>公司本次回购股份的具体用途</w:t>
      </w:r>
      <w:r w:rsidR="00604F5E" w:rsidRPr="00B96D13">
        <w:rPr>
          <w:rFonts w:hint="eastAsia"/>
        </w:rPr>
        <w:t>为全部用于转换成公司发行的可转换为股票的公司债券</w:t>
      </w:r>
      <w:r w:rsidR="00604F5E">
        <w:rPr>
          <w:rFonts w:hint="eastAsia"/>
        </w:rPr>
        <w:t>,</w:t>
      </w:r>
      <w:r w:rsidR="00604F5E" w:rsidRPr="00604F5E">
        <w:rPr>
          <w:rFonts w:hint="eastAsia"/>
        </w:rPr>
        <w:t>公司发行可转换公司债券的预案已经公司第七届董事会2019年第二次临时会议和2019年第二次临时股东大会审议通过。详细内容可参见公司于2019年3月15日及2019年4月3日公布在</w:t>
      </w:r>
      <w:r w:rsidR="00B04108">
        <w:rPr>
          <w:rFonts w:hint="eastAsia"/>
        </w:rPr>
        <w:t>《证券时报》、《中国证券报》及巨潮资讯网</w:t>
      </w:r>
      <w:r w:rsidR="00604F5E" w:rsidRPr="00604F5E">
        <w:rPr>
          <w:rFonts w:hint="eastAsia"/>
        </w:rPr>
        <w:t>（www.cninfo.com.cn）上的相关公告</w:t>
      </w:r>
      <w:r w:rsidR="0008319A">
        <w:rPr>
          <w:rFonts w:hint="eastAsia"/>
        </w:rPr>
        <w:t>,公司将根据该事项进展情况及时履行信息披露义务。</w:t>
      </w:r>
    </w:p>
    <w:p w:rsidR="00844CF3" w:rsidRPr="009836B7" w:rsidRDefault="00844CF3" w:rsidP="00844CF3">
      <w:pPr>
        <w:pStyle w:val="a3"/>
        <w:spacing w:line="400" w:lineRule="exact"/>
        <w:ind w:rightChars="20" w:right="42"/>
        <w:rPr>
          <w:rFonts w:eastAsiaTheme="minorEastAsia"/>
          <w:color w:val="000000"/>
          <w:sz w:val="24"/>
        </w:rPr>
      </w:pPr>
      <w:r w:rsidRPr="009836B7">
        <w:rPr>
          <w:rFonts w:eastAsiaTheme="minorEastAsia"/>
          <w:color w:val="000000"/>
          <w:sz w:val="24"/>
        </w:rPr>
        <w:t>特此公告。</w:t>
      </w:r>
    </w:p>
    <w:p w:rsidR="00844CF3" w:rsidRPr="009836B7" w:rsidRDefault="00844CF3" w:rsidP="00844CF3">
      <w:pPr>
        <w:pStyle w:val="a3"/>
        <w:spacing w:line="400" w:lineRule="exact"/>
        <w:ind w:rightChars="20" w:right="42"/>
        <w:jc w:val="right"/>
        <w:rPr>
          <w:rFonts w:eastAsiaTheme="minorEastAsia"/>
          <w:color w:val="000000"/>
          <w:sz w:val="24"/>
        </w:rPr>
      </w:pPr>
      <w:r w:rsidRPr="009836B7">
        <w:rPr>
          <w:rFonts w:eastAsiaTheme="minorEastAsia"/>
          <w:color w:val="000000"/>
          <w:sz w:val="24"/>
        </w:rPr>
        <w:t xml:space="preserve">                                       </w:t>
      </w:r>
      <w:r w:rsidRPr="009836B7">
        <w:rPr>
          <w:rFonts w:eastAsiaTheme="minorEastAsia"/>
          <w:color w:val="000000"/>
          <w:sz w:val="24"/>
        </w:rPr>
        <w:t>华孚</w:t>
      </w:r>
      <w:r w:rsidR="007D77B8" w:rsidRPr="009836B7">
        <w:rPr>
          <w:rFonts w:eastAsiaTheme="minorEastAsia"/>
          <w:color w:val="000000"/>
          <w:sz w:val="24"/>
        </w:rPr>
        <w:t>时尚</w:t>
      </w:r>
      <w:r w:rsidRPr="009836B7">
        <w:rPr>
          <w:rFonts w:eastAsiaTheme="minorEastAsia"/>
          <w:color w:val="000000"/>
          <w:sz w:val="24"/>
        </w:rPr>
        <w:t>股份有限公司董事会</w:t>
      </w:r>
    </w:p>
    <w:p w:rsidR="0060371E" w:rsidRPr="009836B7" w:rsidRDefault="00844CF3" w:rsidP="00E02E4A">
      <w:pPr>
        <w:ind w:rightChars="20" w:right="42"/>
        <w:jc w:val="right"/>
        <w:rPr>
          <w:rFonts w:eastAsiaTheme="minorEastAsia"/>
        </w:rPr>
      </w:pPr>
      <w:r w:rsidRPr="009836B7">
        <w:rPr>
          <w:rFonts w:eastAsiaTheme="minorEastAsia"/>
          <w:color w:val="000000"/>
          <w:sz w:val="24"/>
        </w:rPr>
        <w:t>二〇一</w:t>
      </w:r>
      <w:r w:rsidR="006D4C01" w:rsidRPr="009836B7">
        <w:rPr>
          <w:rFonts w:eastAsiaTheme="minorEastAsia"/>
          <w:color w:val="000000"/>
          <w:sz w:val="24"/>
        </w:rPr>
        <w:t>九</w:t>
      </w:r>
      <w:r w:rsidRPr="009836B7">
        <w:rPr>
          <w:rFonts w:eastAsiaTheme="minorEastAsia"/>
          <w:color w:val="000000"/>
          <w:sz w:val="24"/>
        </w:rPr>
        <w:t>年</w:t>
      </w:r>
      <w:r w:rsidR="00FF2D42">
        <w:rPr>
          <w:rFonts w:eastAsiaTheme="minorEastAsia" w:hint="eastAsia"/>
          <w:color w:val="000000"/>
          <w:sz w:val="24"/>
        </w:rPr>
        <w:t>五</w:t>
      </w:r>
      <w:r w:rsidRPr="009836B7">
        <w:rPr>
          <w:rFonts w:eastAsiaTheme="minorEastAsia"/>
          <w:color w:val="000000"/>
          <w:sz w:val="24"/>
        </w:rPr>
        <w:t>月</w:t>
      </w:r>
      <w:r w:rsidR="002109B1">
        <w:rPr>
          <w:rFonts w:eastAsiaTheme="minorEastAsia" w:hint="eastAsia"/>
          <w:color w:val="000000"/>
          <w:sz w:val="24"/>
        </w:rPr>
        <w:t>八</w:t>
      </w:r>
      <w:r w:rsidRPr="009836B7">
        <w:rPr>
          <w:rFonts w:eastAsiaTheme="minorEastAsia"/>
          <w:color w:val="000000"/>
          <w:sz w:val="24"/>
        </w:rPr>
        <w:t>日</w:t>
      </w:r>
    </w:p>
    <w:sectPr w:rsidR="0060371E" w:rsidRPr="009836B7" w:rsidSect="004E3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D8" w:rsidRDefault="009C3ED8" w:rsidP="001C595D">
      <w:r>
        <w:separator/>
      </w:r>
    </w:p>
  </w:endnote>
  <w:endnote w:type="continuationSeparator" w:id="0">
    <w:p w:rsidR="009C3ED8" w:rsidRDefault="009C3ED8" w:rsidP="001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D8" w:rsidRDefault="009C3ED8" w:rsidP="001C595D">
      <w:r>
        <w:separator/>
      </w:r>
    </w:p>
  </w:footnote>
  <w:footnote w:type="continuationSeparator" w:id="0">
    <w:p w:rsidR="009C3ED8" w:rsidRDefault="009C3ED8" w:rsidP="001C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F3"/>
    <w:rsid w:val="000145EA"/>
    <w:rsid w:val="00046907"/>
    <w:rsid w:val="000642F7"/>
    <w:rsid w:val="0008237D"/>
    <w:rsid w:val="0008319A"/>
    <w:rsid w:val="000A07B8"/>
    <w:rsid w:val="000F5AF9"/>
    <w:rsid w:val="00110CA2"/>
    <w:rsid w:val="00160828"/>
    <w:rsid w:val="00171561"/>
    <w:rsid w:val="001819B5"/>
    <w:rsid w:val="001834CB"/>
    <w:rsid w:val="00191D49"/>
    <w:rsid w:val="00191D98"/>
    <w:rsid w:val="00197828"/>
    <w:rsid w:val="001B3603"/>
    <w:rsid w:val="001B43F4"/>
    <w:rsid w:val="001C595D"/>
    <w:rsid w:val="001E40B7"/>
    <w:rsid w:val="002109B1"/>
    <w:rsid w:val="002211EF"/>
    <w:rsid w:val="00225D90"/>
    <w:rsid w:val="00250E0B"/>
    <w:rsid w:val="002574BA"/>
    <w:rsid w:val="00285C8C"/>
    <w:rsid w:val="00287EF9"/>
    <w:rsid w:val="00291BE1"/>
    <w:rsid w:val="002B6844"/>
    <w:rsid w:val="002D6859"/>
    <w:rsid w:val="00302556"/>
    <w:rsid w:val="00306C99"/>
    <w:rsid w:val="00307970"/>
    <w:rsid w:val="00322AEE"/>
    <w:rsid w:val="0032639B"/>
    <w:rsid w:val="00326E87"/>
    <w:rsid w:val="00335C63"/>
    <w:rsid w:val="003643B3"/>
    <w:rsid w:val="00373F5F"/>
    <w:rsid w:val="003936C8"/>
    <w:rsid w:val="003A0AED"/>
    <w:rsid w:val="003C2105"/>
    <w:rsid w:val="003C286D"/>
    <w:rsid w:val="003C3162"/>
    <w:rsid w:val="003E1982"/>
    <w:rsid w:val="003E3AAF"/>
    <w:rsid w:val="004311AF"/>
    <w:rsid w:val="00453779"/>
    <w:rsid w:val="004722BD"/>
    <w:rsid w:val="004756FC"/>
    <w:rsid w:val="004B0A8B"/>
    <w:rsid w:val="004B6B5A"/>
    <w:rsid w:val="004E3991"/>
    <w:rsid w:val="004E7761"/>
    <w:rsid w:val="0050786F"/>
    <w:rsid w:val="00525932"/>
    <w:rsid w:val="005303A7"/>
    <w:rsid w:val="00542C12"/>
    <w:rsid w:val="005515A0"/>
    <w:rsid w:val="005637B5"/>
    <w:rsid w:val="00564642"/>
    <w:rsid w:val="00570394"/>
    <w:rsid w:val="00583371"/>
    <w:rsid w:val="005C381B"/>
    <w:rsid w:val="005C6441"/>
    <w:rsid w:val="005D17F4"/>
    <w:rsid w:val="005E40B2"/>
    <w:rsid w:val="006036A9"/>
    <w:rsid w:val="0060371E"/>
    <w:rsid w:val="00604F5E"/>
    <w:rsid w:val="00630782"/>
    <w:rsid w:val="00666BB4"/>
    <w:rsid w:val="00677B15"/>
    <w:rsid w:val="006822AB"/>
    <w:rsid w:val="00697973"/>
    <w:rsid w:val="006D3204"/>
    <w:rsid w:val="006D4C01"/>
    <w:rsid w:val="00711695"/>
    <w:rsid w:val="00750DA3"/>
    <w:rsid w:val="00762283"/>
    <w:rsid w:val="007B2470"/>
    <w:rsid w:val="007D77B8"/>
    <w:rsid w:val="007E7191"/>
    <w:rsid w:val="007F4302"/>
    <w:rsid w:val="0082793D"/>
    <w:rsid w:val="00832685"/>
    <w:rsid w:val="00841BE8"/>
    <w:rsid w:val="00844CF3"/>
    <w:rsid w:val="008532BD"/>
    <w:rsid w:val="00862A46"/>
    <w:rsid w:val="0087067A"/>
    <w:rsid w:val="00871BB0"/>
    <w:rsid w:val="008844E3"/>
    <w:rsid w:val="008C75BA"/>
    <w:rsid w:val="008E3D34"/>
    <w:rsid w:val="008E660E"/>
    <w:rsid w:val="009073FC"/>
    <w:rsid w:val="00925296"/>
    <w:rsid w:val="00943358"/>
    <w:rsid w:val="009702D4"/>
    <w:rsid w:val="0097192E"/>
    <w:rsid w:val="009836B7"/>
    <w:rsid w:val="00983991"/>
    <w:rsid w:val="009C3ED8"/>
    <w:rsid w:val="009C7435"/>
    <w:rsid w:val="009D0419"/>
    <w:rsid w:val="009D323D"/>
    <w:rsid w:val="009E4F4E"/>
    <w:rsid w:val="009E5D45"/>
    <w:rsid w:val="009F01D2"/>
    <w:rsid w:val="00A22881"/>
    <w:rsid w:val="00A5220F"/>
    <w:rsid w:val="00AB3D44"/>
    <w:rsid w:val="00AC591E"/>
    <w:rsid w:val="00B04108"/>
    <w:rsid w:val="00B06415"/>
    <w:rsid w:val="00B2155E"/>
    <w:rsid w:val="00B642BF"/>
    <w:rsid w:val="00B772B8"/>
    <w:rsid w:val="00B855D3"/>
    <w:rsid w:val="00B9561B"/>
    <w:rsid w:val="00B96D13"/>
    <w:rsid w:val="00BD6C29"/>
    <w:rsid w:val="00BD6F7E"/>
    <w:rsid w:val="00BE3E21"/>
    <w:rsid w:val="00BF13AE"/>
    <w:rsid w:val="00BF4955"/>
    <w:rsid w:val="00BF532E"/>
    <w:rsid w:val="00BF53A9"/>
    <w:rsid w:val="00C16779"/>
    <w:rsid w:val="00C27CC1"/>
    <w:rsid w:val="00C61A76"/>
    <w:rsid w:val="00C80767"/>
    <w:rsid w:val="00C97AFA"/>
    <w:rsid w:val="00CF0030"/>
    <w:rsid w:val="00D2093C"/>
    <w:rsid w:val="00D45748"/>
    <w:rsid w:val="00D851B2"/>
    <w:rsid w:val="00D91B6F"/>
    <w:rsid w:val="00D94CBF"/>
    <w:rsid w:val="00DA360D"/>
    <w:rsid w:val="00DB185A"/>
    <w:rsid w:val="00DE256E"/>
    <w:rsid w:val="00DF3EEE"/>
    <w:rsid w:val="00E01049"/>
    <w:rsid w:val="00E02C6C"/>
    <w:rsid w:val="00E02E4A"/>
    <w:rsid w:val="00E2712F"/>
    <w:rsid w:val="00E453C9"/>
    <w:rsid w:val="00E46206"/>
    <w:rsid w:val="00E84910"/>
    <w:rsid w:val="00E93F6D"/>
    <w:rsid w:val="00EE16F0"/>
    <w:rsid w:val="00EE5F92"/>
    <w:rsid w:val="00F01039"/>
    <w:rsid w:val="00F173C6"/>
    <w:rsid w:val="00F24AF2"/>
    <w:rsid w:val="00F44539"/>
    <w:rsid w:val="00F54AEF"/>
    <w:rsid w:val="00F758CC"/>
    <w:rsid w:val="00FA44C7"/>
    <w:rsid w:val="00FB475C"/>
    <w:rsid w:val="00FB76EC"/>
    <w:rsid w:val="00FF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Normal (Web)"/>
    <w:basedOn w:val="a"/>
    <w:uiPriority w:val="99"/>
    <w:unhideWhenUsed/>
    <w:rsid w:val="00542C1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542C12"/>
  </w:style>
  <w:style w:type="table" w:styleId="a7">
    <w:name w:val="Table Grid"/>
    <w:basedOn w:val="a1"/>
    <w:uiPriority w:val="59"/>
    <w:rsid w:val="00E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BB0"/>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iPriority w:val="99"/>
    <w:semiHidden/>
    <w:unhideWhenUsed/>
    <w:rsid w:val="008532BD"/>
    <w:rPr>
      <w:sz w:val="21"/>
      <w:szCs w:val="21"/>
    </w:rPr>
  </w:style>
  <w:style w:type="paragraph" w:styleId="a9">
    <w:name w:val="annotation text"/>
    <w:basedOn w:val="a"/>
    <w:link w:val="Char2"/>
    <w:uiPriority w:val="99"/>
    <w:semiHidden/>
    <w:unhideWhenUsed/>
    <w:rsid w:val="008532BD"/>
    <w:pPr>
      <w:jc w:val="left"/>
    </w:pPr>
  </w:style>
  <w:style w:type="character" w:customStyle="1" w:styleId="Char2">
    <w:name w:val="批注文字 Char"/>
    <w:basedOn w:val="a0"/>
    <w:link w:val="a9"/>
    <w:uiPriority w:val="99"/>
    <w:semiHidden/>
    <w:rsid w:val="008532BD"/>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8532BD"/>
    <w:rPr>
      <w:b/>
      <w:bCs/>
    </w:rPr>
  </w:style>
  <w:style w:type="character" w:customStyle="1" w:styleId="Char3">
    <w:name w:val="批注主题 Char"/>
    <w:basedOn w:val="Char2"/>
    <w:link w:val="aa"/>
    <w:uiPriority w:val="99"/>
    <w:semiHidden/>
    <w:rsid w:val="008532BD"/>
    <w:rPr>
      <w:rFonts w:ascii="Times New Roman" w:eastAsia="宋体" w:hAnsi="Times New Roman" w:cs="Times New Roman"/>
      <w:b/>
      <w:bCs/>
      <w:szCs w:val="24"/>
    </w:rPr>
  </w:style>
  <w:style w:type="paragraph" w:styleId="ab">
    <w:name w:val="Balloon Text"/>
    <w:basedOn w:val="a"/>
    <w:link w:val="Char4"/>
    <w:uiPriority w:val="99"/>
    <w:semiHidden/>
    <w:unhideWhenUsed/>
    <w:rsid w:val="008532BD"/>
    <w:rPr>
      <w:sz w:val="18"/>
      <w:szCs w:val="18"/>
    </w:rPr>
  </w:style>
  <w:style w:type="character" w:customStyle="1" w:styleId="Char4">
    <w:name w:val="批注框文本 Char"/>
    <w:basedOn w:val="a0"/>
    <w:link w:val="ab"/>
    <w:uiPriority w:val="99"/>
    <w:semiHidden/>
    <w:rsid w:val="008532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Normal (Web)"/>
    <w:basedOn w:val="a"/>
    <w:uiPriority w:val="99"/>
    <w:unhideWhenUsed/>
    <w:rsid w:val="00542C1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542C12"/>
  </w:style>
  <w:style w:type="table" w:styleId="a7">
    <w:name w:val="Table Grid"/>
    <w:basedOn w:val="a1"/>
    <w:uiPriority w:val="59"/>
    <w:rsid w:val="00E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BB0"/>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iPriority w:val="99"/>
    <w:semiHidden/>
    <w:unhideWhenUsed/>
    <w:rsid w:val="008532BD"/>
    <w:rPr>
      <w:sz w:val="21"/>
      <w:szCs w:val="21"/>
    </w:rPr>
  </w:style>
  <w:style w:type="paragraph" w:styleId="a9">
    <w:name w:val="annotation text"/>
    <w:basedOn w:val="a"/>
    <w:link w:val="Char2"/>
    <w:uiPriority w:val="99"/>
    <w:semiHidden/>
    <w:unhideWhenUsed/>
    <w:rsid w:val="008532BD"/>
    <w:pPr>
      <w:jc w:val="left"/>
    </w:pPr>
  </w:style>
  <w:style w:type="character" w:customStyle="1" w:styleId="Char2">
    <w:name w:val="批注文字 Char"/>
    <w:basedOn w:val="a0"/>
    <w:link w:val="a9"/>
    <w:uiPriority w:val="99"/>
    <w:semiHidden/>
    <w:rsid w:val="008532BD"/>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8532BD"/>
    <w:rPr>
      <w:b/>
      <w:bCs/>
    </w:rPr>
  </w:style>
  <w:style w:type="character" w:customStyle="1" w:styleId="Char3">
    <w:name w:val="批注主题 Char"/>
    <w:basedOn w:val="Char2"/>
    <w:link w:val="aa"/>
    <w:uiPriority w:val="99"/>
    <w:semiHidden/>
    <w:rsid w:val="008532BD"/>
    <w:rPr>
      <w:rFonts w:ascii="Times New Roman" w:eastAsia="宋体" w:hAnsi="Times New Roman" w:cs="Times New Roman"/>
      <w:b/>
      <w:bCs/>
      <w:szCs w:val="24"/>
    </w:rPr>
  </w:style>
  <w:style w:type="paragraph" w:styleId="ab">
    <w:name w:val="Balloon Text"/>
    <w:basedOn w:val="a"/>
    <w:link w:val="Char4"/>
    <w:uiPriority w:val="99"/>
    <w:semiHidden/>
    <w:unhideWhenUsed/>
    <w:rsid w:val="008532BD"/>
    <w:rPr>
      <w:sz w:val="18"/>
      <w:szCs w:val="18"/>
    </w:rPr>
  </w:style>
  <w:style w:type="character" w:customStyle="1" w:styleId="Char4">
    <w:name w:val="批注框文本 Char"/>
    <w:basedOn w:val="a0"/>
    <w:link w:val="ab"/>
    <w:uiPriority w:val="99"/>
    <w:semiHidden/>
    <w:rsid w:val="008532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6682">
      <w:bodyDiv w:val="1"/>
      <w:marLeft w:val="0"/>
      <w:marRight w:val="0"/>
      <w:marTop w:val="0"/>
      <w:marBottom w:val="0"/>
      <w:divBdr>
        <w:top w:val="none" w:sz="0" w:space="0" w:color="auto"/>
        <w:left w:val="none" w:sz="0" w:space="0" w:color="auto"/>
        <w:bottom w:val="none" w:sz="0" w:space="0" w:color="auto"/>
        <w:right w:val="none" w:sz="0" w:space="0" w:color="auto"/>
      </w:divBdr>
    </w:div>
    <w:div w:id="609623912">
      <w:bodyDiv w:val="1"/>
      <w:marLeft w:val="0"/>
      <w:marRight w:val="0"/>
      <w:marTop w:val="0"/>
      <w:marBottom w:val="0"/>
      <w:divBdr>
        <w:top w:val="none" w:sz="0" w:space="0" w:color="auto"/>
        <w:left w:val="none" w:sz="0" w:space="0" w:color="auto"/>
        <w:bottom w:val="none" w:sz="0" w:space="0" w:color="auto"/>
        <w:right w:val="none" w:sz="0" w:space="0" w:color="auto"/>
      </w:divBdr>
    </w:div>
    <w:div w:id="643974038">
      <w:bodyDiv w:val="1"/>
      <w:marLeft w:val="0"/>
      <w:marRight w:val="0"/>
      <w:marTop w:val="0"/>
      <w:marBottom w:val="0"/>
      <w:divBdr>
        <w:top w:val="none" w:sz="0" w:space="0" w:color="auto"/>
        <w:left w:val="none" w:sz="0" w:space="0" w:color="auto"/>
        <w:bottom w:val="none" w:sz="0" w:space="0" w:color="auto"/>
        <w:right w:val="none" w:sz="0" w:space="0" w:color="auto"/>
      </w:divBdr>
    </w:div>
    <w:div w:id="1093013958">
      <w:bodyDiv w:val="1"/>
      <w:marLeft w:val="0"/>
      <w:marRight w:val="0"/>
      <w:marTop w:val="0"/>
      <w:marBottom w:val="0"/>
      <w:divBdr>
        <w:top w:val="none" w:sz="0" w:space="0" w:color="auto"/>
        <w:left w:val="none" w:sz="0" w:space="0" w:color="auto"/>
        <w:bottom w:val="none" w:sz="0" w:space="0" w:color="auto"/>
        <w:right w:val="none" w:sz="0" w:space="0" w:color="auto"/>
      </w:divBdr>
    </w:div>
    <w:div w:id="1269776177">
      <w:bodyDiv w:val="1"/>
      <w:marLeft w:val="0"/>
      <w:marRight w:val="0"/>
      <w:marTop w:val="0"/>
      <w:marBottom w:val="0"/>
      <w:divBdr>
        <w:top w:val="none" w:sz="0" w:space="0" w:color="auto"/>
        <w:left w:val="none" w:sz="0" w:space="0" w:color="auto"/>
        <w:bottom w:val="none" w:sz="0" w:space="0" w:color="auto"/>
        <w:right w:val="none" w:sz="0" w:space="0" w:color="auto"/>
      </w:divBdr>
      <w:divsChild>
        <w:div w:id="110320678">
          <w:marLeft w:val="0"/>
          <w:marRight w:val="0"/>
          <w:marTop w:val="0"/>
          <w:marBottom w:val="0"/>
          <w:divBdr>
            <w:top w:val="none" w:sz="0" w:space="0" w:color="auto"/>
            <w:left w:val="none" w:sz="0" w:space="0" w:color="auto"/>
            <w:bottom w:val="none" w:sz="0" w:space="0" w:color="auto"/>
            <w:right w:val="none" w:sz="0" w:space="0" w:color="auto"/>
          </w:divBdr>
          <w:divsChild>
            <w:div w:id="452403082">
              <w:marLeft w:val="0"/>
              <w:marRight w:val="0"/>
              <w:marTop w:val="0"/>
              <w:marBottom w:val="0"/>
              <w:divBdr>
                <w:top w:val="none" w:sz="0" w:space="0" w:color="auto"/>
                <w:left w:val="none" w:sz="0" w:space="0" w:color="auto"/>
                <w:bottom w:val="none" w:sz="0" w:space="0" w:color="auto"/>
                <w:right w:val="none" w:sz="0" w:space="0" w:color="auto"/>
              </w:divBdr>
              <w:divsChild>
                <w:div w:id="606933261">
                  <w:marLeft w:val="0"/>
                  <w:marRight w:val="0"/>
                  <w:marTop w:val="0"/>
                  <w:marBottom w:val="0"/>
                  <w:divBdr>
                    <w:top w:val="none" w:sz="0" w:space="0" w:color="auto"/>
                    <w:left w:val="none" w:sz="0" w:space="0" w:color="auto"/>
                    <w:bottom w:val="none" w:sz="0" w:space="0" w:color="auto"/>
                    <w:right w:val="none" w:sz="0" w:space="0" w:color="auto"/>
                  </w:divBdr>
                  <w:divsChild>
                    <w:div w:id="293104909">
                      <w:marLeft w:val="0"/>
                      <w:marRight w:val="0"/>
                      <w:marTop w:val="0"/>
                      <w:marBottom w:val="0"/>
                      <w:divBdr>
                        <w:top w:val="none" w:sz="0" w:space="0" w:color="auto"/>
                        <w:left w:val="none" w:sz="0" w:space="0" w:color="auto"/>
                        <w:bottom w:val="none" w:sz="0" w:space="0" w:color="auto"/>
                        <w:right w:val="none" w:sz="0" w:space="0" w:color="auto"/>
                      </w:divBdr>
                      <w:divsChild>
                        <w:div w:id="103739023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16016794">
                              <w:marLeft w:val="0"/>
                              <w:marRight w:val="0"/>
                              <w:marTop w:val="0"/>
                              <w:marBottom w:val="0"/>
                              <w:divBdr>
                                <w:top w:val="none" w:sz="0" w:space="0" w:color="auto"/>
                                <w:left w:val="none" w:sz="0" w:space="0" w:color="auto"/>
                                <w:bottom w:val="none" w:sz="0" w:space="0" w:color="auto"/>
                                <w:right w:val="none" w:sz="0" w:space="0" w:color="auto"/>
                              </w:divBdr>
                              <w:divsChild>
                                <w:div w:id="1709187650">
                                  <w:marLeft w:val="0"/>
                                  <w:marRight w:val="0"/>
                                  <w:marTop w:val="0"/>
                                  <w:marBottom w:val="0"/>
                                  <w:divBdr>
                                    <w:top w:val="none" w:sz="0" w:space="0" w:color="auto"/>
                                    <w:left w:val="none" w:sz="0" w:space="0" w:color="auto"/>
                                    <w:bottom w:val="none" w:sz="0" w:space="0" w:color="auto"/>
                                    <w:right w:val="none" w:sz="0" w:space="0" w:color="auto"/>
                                  </w:divBdr>
                                  <w:divsChild>
                                    <w:div w:id="3754619">
                                      <w:marLeft w:val="0"/>
                                      <w:marRight w:val="0"/>
                                      <w:marTop w:val="0"/>
                                      <w:marBottom w:val="0"/>
                                      <w:divBdr>
                                        <w:top w:val="none" w:sz="0" w:space="0" w:color="auto"/>
                                        <w:left w:val="none" w:sz="0" w:space="0" w:color="auto"/>
                                        <w:bottom w:val="none" w:sz="0" w:space="0" w:color="auto"/>
                                        <w:right w:val="none" w:sz="0" w:space="0" w:color="auto"/>
                                      </w:divBdr>
                                      <w:divsChild>
                                        <w:div w:id="1424689890">
                                          <w:marLeft w:val="0"/>
                                          <w:marRight w:val="0"/>
                                          <w:marTop w:val="0"/>
                                          <w:marBottom w:val="0"/>
                                          <w:divBdr>
                                            <w:top w:val="none" w:sz="0" w:space="0" w:color="auto"/>
                                            <w:left w:val="none" w:sz="0" w:space="0" w:color="auto"/>
                                            <w:bottom w:val="none" w:sz="0" w:space="0" w:color="auto"/>
                                            <w:right w:val="none" w:sz="0" w:space="0" w:color="auto"/>
                                          </w:divBdr>
                                          <w:divsChild>
                                            <w:div w:id="651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503002">
      <w:bodyDiv w:val="1"/>
      <w:marLeft w:val="0"/>
      <w:marRight w:val="0"/>
      <w:marTop w:val="0"/>
      <w:marBottom w:val="0"/>
      <w:divBdr>
        <w:top w:val="none" w:sz="0" w:space="0" w:color="auto"/>
        <w:left w:val="none" w:sz="0" w:space="0" w:color="auto"/>
        <w:bottom w:val="none" w:sz="0" w:space="0" w:color="auto"/>
        <w:right w:val="none" w:sz="0" w:space="0" w:color="auto"/>
      </w:divBdr>
    </w:div>
    <w:div w:id="20601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D591-C8B3-4931-AF38-09591C6A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511</Words>
  <Characters>2913</Characters>
  <Application>Microsoft Office Word</Application>
  <DocSecurity>0</DocSecurity>
  <Lines>24</Lines>
  <Paragraphs>6</Paragraphs>
  <ScaleCrop>false</ScaleCrop>
  <Company>Lenovo</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杨溶</dc:creator>
  <cp:lastModifiedBy>孙献</cp:lastModifiedBy>
  <cp:revision>20</cp:revision>
  <cp:lastPrinted>2019-05-07T04:22:00Z</cp:lastPrinted>
  <dcterms:created xsi:type="dcterms:W3CDTF">2019-04-26T09:15:00Z</dcterms:created>
  <dcterms:modified xsi:type="dcterms:W3CDTF">2019-05-07T10:09:00Z</dcterms:modified>
</cp:coreProperties>
</file>