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36" w:rsidRPr="00380961" w:rsidRDefault="00F90336" w:rsidP="00F90336">
      <w:pPr>
        <w:spacing w:line="360" w:lineRule="auto"/>
        <w:jc w:val="center"/>
        <w:rPr>
          <w:rFonts w:ascii="Times New Roman" w:hAnsi="Times New Roman"/>
          <w:b/>
          <w:color w:val="2B2B2B"/>
          <w:kern w:val="0"/>
          <w:sz w:val="24"/>
          <w:szCs w:val="24"/>
        </w:rPr>
      </w:pPr>
      <w:r w:rsidRPr="00E20141">
        <w:rPr>
          <w:rFonts w:ascii="黑体" w:eastAsia="黑体" w:hAnsi="Times New Roman"/>
          <w:bCs/>
          <w:kern w:val="0"/>
          <w:sz w:val="24"/>
          <w:szCs w:val="21"/>
        </w:rPr>
        <w:t>证券代码：002042         证券简称：华孚</w:t>
      </w:r>
      <w:r w:rsidR="004733ED">
        <w:rPr>
          <w:rFonts w:ascii="黑体" w:eastAsia="黑体" w:hAnsi="Times New Roman"/>
          <w:bCs/>
          <w:kern w:val="0"/>
          <w:sz w:val="24"/>
          <w:szCs w:val="21"/>
        </w:rPr>
        <w:t>时尚</w:t>
      </w:r>
      <w:r w:rsidRPr="00E20141">
        <w:rPr>
          <w:rFonts w:ascii="黑体" w:eastAsia="黑体" w:hAnsi="Times New Roman"/>
          <w:bCs/>
          <w:kern w:val="0"/>
          <w:sz w:val="24"/>
          <w:szCs w:val="21"/>
        </w:rPr>
        <w:t xml:space="preserve">       公告编号</w:t>
      </w:r>
      <w:r w:rsidRPr="00CC4B2C">
        <w:rPr>
          <w:rFonts w:ascii="黑体" w:eastAsia="黑体" w:hAnsi="Times New Roman"/>
          <w:bCs/>
          <w:kern w:val="0"/>
          <w:sz w:val="24"/>
          <w:szCs w:val="21"/>
        </w:rPr>
        <w:t>：201</w:t>
      </w:r>
      <w:r w:rsidR="004733ED">
        <w:rPr>
          <w:rFonts w:ascii="黑体" w:eastAsia="黑体" w:hAnsi="Times New Roman" w:hint="eastAsia"/>
          <w:bCs/>
          <w:kern w:val="0"/>
          <w:sz w:val="24"/>
          <w:szCs w:val="21"/>
        </w:rPr>
        <w:t>8</w:t>
      </w:r>
      <w:r>
        <w:rPr>
          <w:rFonts w:ascii="黑体" w:eastAsia="黑体" w:hAnsi="Times New Roman" w:hint="eastAsia"/>
          <w:bCs/>
          <w:kern w:val="0"/>
          <w:sz w:val="24"/>
          <w:szCs w:val="21"/>
        </w:rPr>
        <w:t>-</w:t>
      </w:r>
      <w:r w:rsidR="00B363DF">
        <w:rPr>
          <w:rFonts w:ascii="黑体" w:eastAsia="黑体" w:hAnsi="Times New Roman" w:hint="eastAsia"/>
          <w:bCs/>
          <w:kern w:val="0"/>
          <w:sz w:val="24"/>
          <w:szCs w:val="21"/>
        </w:rPr>
        <w:t>18</w:t>
      </w:r>
    </w:p>
    <w:p w:rsidR="00F90336" w:rsidRPr="00380961" w:rsidRDefault="00F90336" w:rsidP="00F90336">
      <w:pPr>
        <w:widowControl/>
        <w:ind w:firstLine="420"/>
        <w:jc w:val="center"/>
        <w:rPr>
          <w:rFonts w:ascii="Times New Roman" w:hAnsi="Times New Roman"/>
          <w:b/>
          <w:color w:val="2B2B2B"/>
          <w:kern w:val="0"/>
          <w:sz w:val="36"/>
          <w:szCs w:val="36"/>
        </w:rPr>
      </w:pP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华孚</w:t>
      </w:r>
      <w:r w:rsidR="004733ED">
        <w:rPr>
          <w:rFonts w:ascii="Times New Roman" w:hAnsi="宋体"/>
          <w:b/>
          <w:color w:val="2B2B2B"/>
          <w:kern w:val="0"/>
          <w:sz w:val="36"/>
          <w:szCs w:val="36"/>
        </w:rPr>
        <w:t>时尚</w:t>
      </w:r>
      <w:r w:rsidRPr="00380961">
        <w:rPr>
          <w:rFonts w:ascii="Times New Roman" w:hAnsi="宋体"/>
          <w:b/>
          <w:color w:val="2B2B2B"/>
          <w:kern w:val="0"/>
          <w:sz w:val="36"/>
          <w:szCs w:val="36"/>
        </w:rPr>
        <w:t>股份有限公司</w:t>
      </w: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关于</w:t>
      </w:r>
      <w:r w:rsidR="005A75C3" w:rsidRPr="00380961">
        <w:rPr>
          <w:rFonts w:ascii="Times New Roman" w:hAnsi="宋体"/>
          <w:b/>
          <w:color w:val="2B2B2B"/>
          <w:kern w:val="0"/>
          <w:sz w:val="36"/>
          <w:szCs w:val="36"/>
        </w:rPr>
        <w:t>预计</w:t>
      </w:r>
      <w:r w:rsidRPr="00380961">
        <w:rPr>
          <w:rFonts w:ascii="Times New Roman" w:hAnsi="Times New Roman"/>
          <w:b/>
          <w:color w:val="2B2B2B"/>
          <w:kern w:val="0"/>
          <w:sz w:val="36"/>
          <w:szCs w:val="36"/>
        </w:rPr>
        <w:t>201</w:t>
      </w:r>
      <w:r w:rsidR="004733ED">
        <w:rPr>
          <w:rFonts w:ascii="Times New Roman" w:hAnsi="Times New Roman" w:hint="eastAsia"/>
          <w:b/>
          <w:color w:val="2B2B2B"/>
          <w:kern w:val="0"/>
          <w:sz w:val="36"/>
          <w:szCs w:val="36"/>
        </w:rPr>
        <w:t>8</w:t>
      </w:r>
      <w:r w:rsidRPr="00380961">
        <w:rPr>
          <w:rFonts w:ascii="Times New Roman" w:hAnsi="宋体"/>
          <w:b/>
          <w:color w:val="2B2B2B"/>
          <w:kern w:val="0"/>
          <w:sz w:val="36"/>
          <w:szCs w:val="36"/>
        </w:rPr>
        <w:t>年度参与期货套</w:t>
      </w:r>
      <w:proofErr w:type="gramStart"/>
      <w:r w:rsidRPr="00380961">
        <w:rPr>
          <w:rFonts w:ascii="Times New Roman" w:hAnsi="宋体"/>
          <w:b/>
          <w:color w:val="2B2B2B"/>
          <w:kern w:val="0"/>
          <w:sz w:val="36"/>
          <w:szCs w:val="36"/>
        </w:rPr>
        <w:t>保交易</w:t>
      </w:r>
      <w:proofErr w:type="gramEnd"/>
      <w:r w:rsidRPr="00380961">
        <w:rPr>
          <w:rFonts w:ascii="Times New Roman" w:hAnsi="宋体"/>
          <w:b/>
          <w:color w:val="2B2B2B"/>
          <w:kern w:val="0"/>
          <w:sz w:val="36"/>
          <w:szCs w:val="36"/>
        </w:rPr>
        <w:t>事项的公告</w:t>
      </w:r>
    </w:p>
    <w:p w:rsidR="00F90336" w:rsidRPr="00F90336" w:rsidRDefault="00F90336" w:rsidP="00F90336">
      <w:pPr>
        <w:widowControl/>
        <w:spacing w:line="360" w:lineRule="auto"/>
        <w:ind w:firstLine="420"/>
        <w:jc w:val="left"/>
        <w:rPr>
          <w:rFonts w:ascii="Times New Roman" w:hAnsi="Times New Roman"/>
          <w:color w:val="2B2B2B"/>
          <w:kern w:val="0"/>
          <w:sz w:val="24"/>
          <w:szCs w:val="24"/>
        </w:rPr>
      </w:pPr>
    </w:p>
    <w:p w:rsidR="00F90336" w:rsidRPr="00613216" w:rsidRDefault="00F90336" w:rsidP="00F90336">
      <w:pPr>
        <w:spacing w:line="360" w:lineRule="auto"/>
        <w:ind w:rightChars="20" w:right="42" w:firstLineChars="200" w:firstLine="480"/>
        <w:rPr>
          <w:rFonts w:ascii="Times New Roman" w:eastAsia="楷体_GB2312" w:hAnsi="Times New Roman"/>
          <w:color w:val="000000"/>
          <w:sz w:val="24"/>
          <w:szCs w:val="24"/>
        </w:rPr>
      </w:pPr>
      <w:r w:rsidRPr="00613216">
        <w:rPr>
          <w:rFonts w:ascii="Times New Roman" w:eastAsia="楷体_GB2312" w:hAnsi="Times New Roman"/>
          <w:color w:val="000000"/>
          <w:sz w:val="24"/>
          <w:szCs w:val="24"/>
        </w:rPr>
        <w:t>本公司及董事会全体成员保证信息披露内容的真实、准确和完整，没有虚假</w:t>
      </w:r>
      <w:r w:rsidRPr="00613216">
        <w:rPr>
          <w:rFonts w:ascii="Times New Roman" w:eastAsia="楷体_GB2312" w:hAnsi="Times New Roman"/>
          <w:color w:val="000000"/>
          <w:sz w:val="24"/>
          <w:szCs w:val="24"/>
        </w:rPr>
        <w:t xml:space="preserve"> </w:t>
      </w:r>
      <w:r w:rsidRPr="00613216">
        <w:rPr>
          <w:rFonts w:ascii="Times New Roman" w:eastAsia="楷体_GB2312" w:hAnsi="Times New Roman"/>
          <w:color w:val="000000"/>
          <w:sz w:val="24"/>
          <w:szCs w:val="24"/>
        </w:rPr>
        <w:t>记载、误导性陈述或者重大遗漏。</w:t>
      </w:r>
    </w:p>
    <w:p w:rsidR="00F90336" w:rsidRPr="00380961" w:rsidRDefault="00F90336" w:rsidP="00F90336">
      <w:pPr>
        <w:widowControl/>
        <w:spacing w:line="360" w:lineRule="auto"/>
        <w:ind w:firstLine="420"/>
        <w:jc w:val="left"/>
        <w:rPr>
          <w:rFonts w:ascii="Times New Roman" w:hAnsi="Times New Roman"/>
          <w:color w:val="2B2B2B"/>
          <w:kern w:val="0"/>
          <w:sz w:val="24"/>
          <w:szCs w:val="24"/>
        </w:rPr>
      </w:pPr>
    </w:p>
    <w:p w:rsidR="00F90336" w:rsidRPr="00ED4F53" w:rsidRDefault="00F90336" w:rsidP="00F90336">
      <w:pPr>
        <w:pStyle w:val="a3"/>
        <w:widowControl/>
        <w:spacing w:line="360" w:lineRule="auto"/>
        <w:ind w:firstLineChars="0"/>
        <w:jc w:val="left"/>
        <w:rPr>
          <w:rFonts w:ascii="Times New Roman" w:hAnsi="Times New Roman"/>
          <w:b/>
          <w:color w:val="2B2B2B"/>
          <w:kern w:val="0"/>
          <w:sz w:val="24"/>
          <w:szCs w:val="24"/>
        </w:rPr>
      </w:pPr>
      <w:r w:rsidRPr="00ED4F53">
        <w:rPr>
          <w:rFonts w:ascii="Times New Roman" w:hAnsi="宋体"/>
          <w:b/>
          <w:color w:val="2B2B2B"/>
          <w:kern w:val="0"/>
          <w:sz w:val="24"/>
          <w:szCs w:val="24"/>
        </w:rPr>
        <w:t>一、公司参与期货套</w:t>
      </w:r>
      <w:proofErr w:type="gramStart"/>
      <w:r w:rsidRPr="00ED4F53">
        <w:rPr>
          <w:rFonts w:ascii="Times New Roman" w:hAnsi="宋体"/>
          <w:b/>
          <w:color w:val="2B2B2B"/>
          <w:kern w:val="0"/>
          <w:sz w:val="24"/>
          <w:szCs w:val="24"/>
        </w:rPr>
        <w:t>保交易</w:t>
      </w:r>
      <w:proofErr w:type="gramEnd"/>
      <w:r w:rsidRPr="00ED4F53">
        <w:rPr>
          <w:rFonts w:ascii="Times New Roman" w:hAnsi="宋体"/>
          <w:b/>
          <w:color w:val="2B2B2B"/>
          <w:kern w:val="0"/>
          <w:sz w:val="24"/>
          <w:szCs w:val="24"/>
        </w:rPr>
        <w:t>的情况概述</w:t>
      </w:r>
    </w:p>
    <w:p w:rsidR="00F90336" w:rsidRPr="00ED4F53" w:rsidRDefault="00F90336" w:rsidP="00F90336">
      <w:pPr>
        <w:widowControl/>
        <w:spacing w:line="360" w:lineRule="auto"/>
        <w:ind w:firstLineChars="200" w:firstLine="480"/>
        <w:jc w:val="left"/>
        <w:rPr>
          <w:rFonts w:ascii="Times New Roman" w:hAnsi="Times New Roman"/>
          <w:color w:val="2B2B2B"/>
          <w:kern w:val="0"/>
          <w:sz w:val="24"/>
          <w:szCs w:val="24"/>
        </w:rPr>
      </w:pPr>
      <w:r w:rsidRPr="00ED4F53">
        <w:rPr>
          <w:rFonts w:ascii="Times New Roman" w:hAnsi="宋体"/>
          <w:color w:val="2B2B2B"/>
          <w:kern w:val="0"/>
          <w:sz w:val="24"/>
          <w:szCs w:val="24"/>
        </w:rPr>
        <w:t>公司</w:t>
      </w:r>
      <w:r w:rsidRPr="00ED4F53">
        <w:rPr>
          <w:rFonts w:ascii="Times New Roman" w:hAnsi="Times New Roman" w:hint="eastAsia"/>
          <w:color w:val="2B2B2B"/>
          <w:kern w:val="0"/>
          <w:sz w:val="24"/>
          <w:szCs w:val="24"/>
        </w:rPr>
        <w:t>201</w:t>
      </w:r>
      <w:r w:rsidR="004733ED">
        <w:rPr>
          <w:rFonts w:ascii="Times New Roman" w:hAnsi="Times New Roman" w:hint="eastAsia"/>
          <w:color w:val="2B2B2B"/>
          <w:kern w:val="0"/>
          <w:sz w:val="24"/>
          <w:szCs w:val="24"/>
        </w:rPr>
        <w:t>8</w:t>
      </w:r>
      <w:r w:rsidRPr="00ED4F53">
        <w:rPr>
          <w:rFonts w:ascii="Times New Roman" w:hAnsi="宋体"/>
          <w:color w:val="2B2B2B"/>
          <w:kern w:val="0"/>
          <w:sz w:val="24"/>
          <w:szCs w:val="24"/>
        </w:rPr>
        <w:t>年拟对棉花</w:t>
      </w:r>
      <w:r w:rsidR="00213704">
        <w:rPr>
          <w:rFonts w:ascii="Times New Roman" w:hAnsi="宋体" w:hint="eastAsia"/>
          <w:color w:val="2B2B2B"/>
          <w:kern w:val="0"/>
          <w:sz w:val="24"/>
          <w:szCs w:val="24"/>
        </w:rPr>
        <w:t>和棉纱</w:t>
      </w:r>
      <w:r w:rsidRPr="00ED4F53">
        <w:rPr>
          <w:rFonts w:ascii="Times New Roman" w:hAnsi="宋体"/>
          <w:color w:val="2B2B2B"/>
          <w:kern w:val="0"/>
          <w:sz w:val="24"/>
          <w:szCs w:val="24"/>
        </w:rPr>
        <w:t>期货进行交易，根据市场和公司经营情况，预计公司</w:t>
      </w:r>
      <w:r w:rsidRPr="00ED4F53">
        <w:rPr>
          <w:rFonts w:ascii="Times New Roman" w:hAnsi="Times New Roman"/>
          <w:color w:val="2B2B2B"/>
          <w:kern w:val="0"/>
          <w:sz w:val="24"/>
          <w:szCs w:val="24"/>
        </w:rPr>
        <w:t>201</w:t>
      </w:r>
      <w:r w:rsidR="004733ED">
        <w:rPr>
          <w:rFonts w:ascii="Times New Roman" w:hAnsi="Times New Roman" w:hint="eastAsia"/>
          <w:color w:val="2B2B2B"/>
          <w:kern w:val="0"/>
          <w:sz w:val="24"/>
          <w:szCs w:val="24"/>
        </w:rPr>
        <w:t>8</w:t>
      </w:r>
      <w:r w:rsidRPr="00ED4F53">
        <w:rPr>
          <w:rFonts w:ascii="Times New Roman" w:hAnsi="宋体"/>
          <w:color w:val="2B2B2B"/>
          <w:kern w:val="0"/>
          <w:sz w:val="24"/>
          <w:szCs w:val="24"/>
        </w:rPr>
        <w:t>年度开展期货套保交易的保证金最高额度</w:t>
      </w:r>
      <w:r w:rsidRPr="00E6635B">
        <w:rPr>
          <w:rFonts w:ascii="Times New Roman" w:hAnsi="宋体"/>
          <w:kern w:val="0"/>
          <w:sz w:val="24"/>
          <w:szCs w:val="24"/>
        </w:rPr>
        <w:t>不超过人民</w:t>
      </w:r>
      <w:r w:rsidRPr="001C67FE">
        <w:rPr>
          <w:rFonts w:ascii="Times New Roman" w:hAnsi="宋体"/>
          <w:kern w:val="0"/>
          <w:sz w:val="24"/>
          <w:szCs w:val="24"/>
        </w:rPr>
        <w:t>币</w:t>
      </w:r>
      <w:r w:rsidR="00A23BEE" w:rsidRPr="001C67FE">
        <w:rPr>
          <w:rFonts w:ascii="Times New Roman" w:hAnsi="Times New Roman" w:hint="eastAsia"/>
          <w:kern w:val="0"/>
          <w:sz w:val="24"/>
          <w:szCs w:val="24"/>
        </w:rPr>
        <w:t>10</w:t>
      </w:r>
      <w:r w:rsidRPr="001C67FE">
        <w:rPr>
          <w:rFonts w:ascii="Times New Roman" w:hAnsi="Times New Roman" w:hint="eastAsia"/>
          <w:kern w:val="0"/>
          <w:sz w:val="24"/>
          <w:szCs w:val="24"/>
        </w:rPr>
        <w:t>亿</w:t>
      </w:r>
      <w:r w:rsidRPr="001C67FE">
        <w:rPr>
          <w:rFonts w:ascii="Times New Roman" w:hAnsi="宋体"/>
          <w:kern w:val="0"/>
          <w:sz w:val="24"/>
          <w:szCs w:val="24"/>
        </w:rPr>
        <w:t>元</w:t>
      </w:r>
      <w:r w:rsidRPr="00E6635B">
        <w:rPr>
          <w:rFonts w:ascii="Times New Roman" w:hAnsi="宋体"/>
          <w:kern w:val="0"/>
          <w:sz w:val="24"/>
          <w:szCs w:val="24"/>
        </w:rPr>
        <w:t>。</w:t>
      </w:r>
      <w:r w:rsidRPr="00D17459">
        <w:rPr>
          <w:rFonts w:ascii="Times New Roman" w:hAnsi="宋体"/>
          <w:color w:val="2B2B2B"/>
          <w:kern w:val="0"/>
          <w:sz w:val="24"/>
          <w:szCs w:val="24"/>
        </w:rPr>
        <w:t>公司进行</w:t>
      </w:r>
      <w:r w:rsidRPr="00ED4F53">
        <w:rPr>
          <w:rFonts w:ascii="Times New Roman" w:hAnsi="宋体"/>
          <w:color w:val="2B2B2B"/>
          <w:kern w:val="0"/>
          <w:sz w:val="24"/>
          <w:szCs w:val="24"/>
        </w:rPr>
        <w:t>套期保值的数量不超过实际现货交易的数量，期货持仓量不超过套期保值的现货量。</w:t>
      </w:r>
    </w:p>
    <w:p w:rsidR="00F90336" w:rsidRPr="00FE308B" w:rsidRDefault="00F90336" w:rsidP="00F90336">
      <w:pPr>
        <w:widowControl/>
        <w:spacing w:line="360" w:lineRule="auto"/>
        <w:ind w:firstLineChars="200" w:firstLine="480"/>
        <w:rPr>
          <w:rFonts w:ascii="Times New Roman" w:hAnsi="宋体"/>
          <w:color w:val="2B2B2B"/>
          <w:kern w:val="0"/>
          <w:sz w:val="24"/>
          <w:szCs w:val="24"/>
        </w:rPr>
      </w:pPr>
      <w:r w:rsidRPr="00FE308B">
        <w:rPr>
          <w:rFonts w:ascii="Times New Roman" w:hAnsi="宋体"/>
          <w:color w:val="2B2B2B"/>
          <w:kern w:val="0"/>
          <w:sz w:val="24"/>
          <w:szCs w:val="24"/>
        </w:rPr>
        <w:t>套保期货品种：纽约期货交易所（</w:t>
      </w:r>
      <w:r w:rsidRPr="00FE308B">
        <w:rPr>
          <w:rFonts w:ascii="Times New Roman" w:hAnsi="Times New Roman"/>
          <w:color w:val="2B2B2B"/>
          <w:kern w:val="0"/>
          <w:sz w:val="24"/>
          <w:szCs w:val="24"/>
        </w:rPr>
        <w:t>NYBOT</w:t>
      </w:r>
      <w:r w:rsidRPr="00FE308B">
        <w:rPr>
          <w:rFonts w:ascii="Times New Roman" w:hAnsi="宋体"/>
          <w:color w:val="2B2B2B"/>
          <w:kern w:val="0"/>
          <w:sz w:val="24"/>
          <w:szCs w:val="24"/>
        </w:rPr>
        <w:t>）的棉花合约、郑州商品期货交易所交易的棉花合约</w:t>
      </w:r>
      <w:r w:rsidR="00FE308B" w:rsidRPr="00FE308B">
        <w:rPr>
          <w:rFonts w:ascii="Times New Roman" w:hAnsi="宋体" w:hint="eastAsia"/>
          <w:color w:val="2B2B2B"/>
          <w:kern w:val="0"/>
          <w:sz w:val="24"/>
          <w:szCs w:val="24"/>
        </w:rPr>
        <w:t>和棉纱合约</w:t>
      </w:r>
      <w:r w:rsidR="00213704">
        <w:rPr>
          <w:rFonts w:ascii="Times New Roman" w:hAnsi="宋体" w:hint="eastAsia"/>
          <w:color w:val="2B2B2B"/>
          <w:kern w:val="0"/>
          <w:sz w:val="24"/>
          <w:szCs w:val="24"/>
        </w:rPr>
        <w:t>等</w:t>
      </w:r>
      <w:r w:rsidRPr="00FE308B">
        <w:rPr>
          <w:rFonts w:ascii="Times New Roman" w:hAnsi="宋体"/>
          <w:color w:val="2B2B2B"/>
          <w:kern w:val="0"/>
          <w:sz w:val="24"/>
          <w:szCs w:val="24"/>
        </w:rPr>
        <w:t>。</w:t>
      </w:r>
    </w:p>
    <w:p w:rsidR="00F90336" w:rsidRPr="00FE308B" w:rsidRDefault="00F90336" w:rsidP="00F90336">
      <w:pPr>
        <w:widowControl/>
        <w:spacing w:line="360" w:lineRule="auto"/>
        <w:ind w:firstLineChars="200" w:firstLine="480"/>
        <w:rPr>
          <w:rFonts w:ascii="Times New Roman" w:hAnsi="Times New Roman"/>
          <w:color w:val="2B2B2B"/>
          <w:kern w:val="0"/>
          <w:sz w:val="24"/>
          <w:szCs w:val="24"/>
        </w:rPr>
      </w:pPr>
      <w:r w:rsidRPr="00FE308B">
        <w:rPr>
          <w:rFonts w:ascii="Times New Roman" w:hAnsi="宋体" w:hint="eastAsia"/>
          <w:color w:val="2B2B2B"/>
          <w:kern w:val="0"/>
          <w:sz w:val="24"/>
          <w:szCs w:val="24"/>
        </w:rPr>
        <w:t>上述期货套</w:t>
      </w:r>
      <w:proofErr w:type="gramStart"/>
      <w:r w:rsidRPr="00FE308B">
        <w:rPr>
          <w:rFonts w:ascii="Times New Roman" w:hAnsi="宋体" w:hint="eastAsia"/>
          <w:color w:val="2B2B2B"/>
          <w:kern w:val="0"/>
          <w:sz w:val="24"/>
          <w:szCs w:val="24"/>
        </w:rPr>
        <w:t>保交易</w:t>
      </w:r>
      <w:proofErr w:type="gramEnd"/>
      <w:r w:rsidRPr="00FE308B">
        <w:rPr>
          <w:rFonts w:ascii="Times New Roman" w:hAnsi="宋体" w:hint="eastAsia"/>
          <w:color w:val="2B2B2B"/>
          <w:kern w:val="0"/>
          <w:sz w:val="24"/>
          <w:szCs w:val="24"/>
        </w:rPr>
        <w:t>事项已经第六届董事会第</w:t>
      </w:r>
      <w:r w:rsidR="00FE308B" w:rsidRPr="00FE308B">
        <w:rPr>
          <w:rFonts w:ascii="Times New Roman" w:hAnsi="宋体" w:hint="eastAsia"/>
          <w:color w:val="2B2B2B"/>
          <w:kern w:val="0"/>
          <w:sz w:val="24"/>
          <w:szCs w:val="24"/>
        </w:rPr>
        <w:t>十</w:t>
      </w:r>
      <w:r w:rsidRPr="00FE308B">
        <w:rPr>
          <w:rFonts w:ascii="Times New Roman" w:hAnsi="宋体" w:hint="eastAsia"/>
          <w:color w:val="2B2B2B"/>
          <w:kern w:val="0"/>
          <w:sz w:val="24"/>
          <w:szCs w:val="24"/>
        </w:rPr>
        <w:t>次会议决议审议通过，尚需提交公司</w:t>
      </w:r>
      <w:r w:rsidR="004733ED" w:rsidRPr="00FE308B">
        <w:rPr>
          <w:rFonts w:ascii="Times New Roman" w:hAnsi="宋体" w:hint="eastAsia"/>
          <w:color w:val="2B2B2B"/>
          <w:kern w:val="0"/>
          <w:sz w:val="24"/>
          <w:szCs w:val="24"/>
        </w:rPr>
        <w:t>2017</w:t>
      </w:r>
      <w:r w:rsidRPr="00FE308B">
        <w:rPr>
          <w:rFonts w:ascii="Times New Roman" w:hAnsi="宋体" w:hint="eastAsia"/>
          <w:color w:val="2B2B2B"/>
          <w:kern w:val="0"/>
          <w:sz w:val="24"/>
          <w:szCs w:val="24"/>
        </w:rPr>
        <w:t>年度股东大会审议。</w:t>
      </w:r>
    </w:p>
    <w:p w:rsidR="00F90336" w:rsidRPr="00ED4F53" w:rsidRDefault="00F90336" w:rsidP="00F90336">
      <w:pPr>
        <w:pStyle w:val="a3"/>
        <w:widowControl/>
        <w:spacing w:line="360" w:lineRule="auto"/>
        <w:ind w:firstLineChars="0"/>
        <w:jc w:val="left"/>
        <w:rPr>
          <w:rFonts w:ascii="Times New Roman" w:hAnsi="Times New Roman"/>
          <w:b/>
          <w:color w:val="2B2B2B"/>
          <w:kern w:val="0"/>
          <w:sz w:val="24"/>
          <w:szCs w:val="24"/>
        </w:rPr>
      </w:pPr>
      <w:r w:rsidRPr="00ED4F53">
        <w:rPr>
          <w:rFonts w:ascii="Times New Roman" w:hAnsi="宋体"/>
          <w:b/>
          <w:color w:val="2B2B2B"/>
          <w:kern w:val="0"/>
          <w:sz w:val="24"/>
          <w:szCs w:val="24"/>
        </w:rPr>
        <w:t>二、公司参与期货套</w:t>
      </w:r>
      <w:proofErr w:type="gramStart"/>
      <w:r w:rsidRPr="00ED4F53">
        <w:rPr>
          <w:rFonts w:ascii="Times New Roman" w:hAnsi="宋体"/>
          <w:b/>
          <w:color w:val="2B2B2B"/>
          <w:kern w:val="0"/>
          <w:sz w:val="24"/>
          <w:szCs w:val="24"/>
        </w:rPr>
        <w:t>保交易</w:t>
      </w:r>
      <w:proofErr w:type="gramEnd"/>
      <w:r w:rsidRPr="00ED4F53">
        <w:rPr>
          <w:rFonts w:ascii="Times New Roman" w:hAnsi="宋体"/>
          <w:b/>
          <w:color w:val="2B2B2B"/>
          <w:kern w:val="0"/>
          <w:sz w:val="24"/>
          <w:szCs w:val="24"/>
        </w:rPr>
        <w:t>的必要性</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公司拟参与期货套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的品种为公司生产经营中主要使用的</w:t>
      </w:r>
      <w:r w:rsidR="00213704">
        <w:rPr>
          <w:rFonts w:ascii="Times New Roman" w:hAnsi="宋体" w:hint="eastAsia"/>
          <w:color w:val="2B2B2B"/>
          <w:kern w:val="0"/>
          <w:sz w:val="24"/>
          <w:szCs w:val="24"/>
        </w:rPr>
        <w:t>棉花</w:t>
      </w:r>
      <w:r w:rsidRPr="00FC68CC">
        <w:rPr>
          <w:rFonts w:ascii="Times New Roman" w:hAnsi="宋体"/>
          <w:color w:val="2B2B2B"/>
          <w:kern w:val="0"/>
          <w:sz w:val="24"/>
          <w:szCs w:val="24"/>
        </w:rPr>
        <w:t>原材料</w:t>
      </w:r>
      <w:r w:rsidR="00213704">
        <w:rPr>
          <w:rFonts w:ascii="Times New Roman" w:hAnsi="宋体" w:hint="eastAsia"/>
          <w:color w:val="2B2B2B"/>
          <w:kern w:val="0"/>
          <w:sz w:val="24"/>
          <w:szCs w:val="24"/>
        </w:rPr>
        <w:t>和棉纱</w:t>
      </w:r>
      <w:r w:rsidR="00213704">
        <w:rPr>
          <w:rFonts w:ascii="Times New Roman" w:hAnsi="宋体"/>
          <w:color w:val="2B2B2B"/>
          <w:kern w:val="0"/>
          <w:sz w:val="24"/>
          <w:szCs w:val="24"/>
        </w:rPr>
        <w:t>，参与上述品种的期货套</w:t>
      </w:r>
      <w:proofErr w:type="gramStart"/>
      <w:r w:rsidR="00213704">
        <w:rPr>
          <w:rFonts w:ascii="Times New Roman" w:hAnsi="宋体"/>
          <w:color w:val="2B2B2B"/>
          <w:kern w:val="0"/>
          <w:sz w:val="24"/>
          <w:szCs w:val="24"/>
        </w:rPr>
        <w:t>保交易</w:t>
      </w:r>
      <w:proofErr w:type="gramEnd"/>
      <w:r w:rsidR="00213704">
        <w:rPr>
          <w:rFonts w:ascii="Times New Roman" w:hAnsi="宋体"/>
          <w:color w:val="2B2B2B"/>
          <w:kern w:val="0"/>
          <w:sz w:val="24"/>
          <w:szCs w:val="24"/>
        </w:rPr>
        <w:t>是出于公司日常经营的需要</w:t>
      </w:r>
      <w:r w:rsidR="00FA217B">
        <w:rPr>
          <w:rFonts w:ascii="Times New Roman" w:hAnsi="宋体" w:hint="eastAsia"/>
          <w:color w:val="2B2B2B"/>
          <w:kern w:val="0"/>
          <w:sz w:val="24"/>
          <w:szCs w:val="24"/>
        </w:rPr>
        <w:t>为目的</w:t>
      </w:r>
      <w:r w:rsidR="00213704">
        <w:rPr>
          <w:rFonts w:ascii="Times New Roman" w:hAnsi="宋体"/>
          <w:color w:val="2B2B2B"/>
          <w:kern w:val="0"/>
          <w:sz w:val="24"/>
          <w:szCs w:val="24"/>
        </w:rPr>
        <w:t>。近两年</w:t>
      </w:r>
      <w:r w:rsidRPr="00FC68CC">
        <w:rPr>
          <w:rFonts w:ascii="Times New Roman" w:hAnsi="宋体"/>
          <w:color w:val="2B2B2B"/>
          <w:kern w:val="0"/>
          <w:sz w:val="24"/>
          <w:szCs w:val="24"/>
        </w:rPr>
        <w:t>棉花</w:t>
      </w:r>
      <w:r w:rsidR="00213704">
        <w:rPr>
          <w:rFonts w:ascii="Times New Roman" w:hAnsi="宋体" w:hint="eastAsia"/>
          <w:color w:val="2B2B2B"/>
          <w:kern w:val="0"/>
          <w:sz w:val="24"/>
          <w:szCs w:val="24"/>
        </w:rPr>
        <w:t>和棉纱</w:t>
      </w:r>
      <w:r w:rsidR="00213704">
        <w:rPr>
          <w:rFonts w:ascii="Times New Roman" w:hAnsi="宋体"/>
          <w:color w:val="2B2B2B"/>
          <w:kern w:val="0"/>
          <w:sz w:val="24"/>
          <w:szCs w:val="24"/>
        </w:rPr>
        <w:t>价格</w:t>
      </w:r>
      <w:r w:rsidR="00213704">
        <w:rPr>
          <w:rFonts w:ascii="Times New Roman" w:hAnsi="宋体" w:hint="eastAsia"/>
          <w:color w:val="2B2B2B"/>
          <w:kern w:val="0"/>
          <w:sz w:val="24"/>
          <w:szCs w:val="24"/>
        </w:rPr>
        <w:t>仍有波动</w:t>
      </w:r>
      <w:r w:rsidRPr="00FC68CC">
        <w:rPr>
          <w:rFonts w:ascii="Times New Roman" w:hAnsi="宋体"/>
          <w:color w:val="2B2B2B"/>
          <w:kern w:val="0"/>
          <w:sz w:val="24"/>
          <w:szCs w:val="24"/>
        </w:rPr>
        <w:t>，公司参与期货市场交易，与现</w:t>
      </w:r>
      <w:r w:rsidR="00213704">
        <w:rPr>
          <w:rFonts w:ascii="Times New Roman" w:hAnsi="宋体"/>
          <w:color w:val="2B2B2B"/>
          <w:kern w:val="0"/>
          <w:sz w:val="24"/>
          <w:szCs w:val="24"/>
        </w:rPr>
        <w:t>货市场交易相结合，将有效拓宽采购渠道，有利于公司规避棉花价格</w:t>
      </w:r>
      <w:r w:rsidRPr="00FC68CC">
        <w:rPr>
          <w:rFonts w:ascii="Times New Roman" w:hAnsi="宋体"/>
          <w:color w:val="2B2B2B"/>
          <w:kern w:val="0"/>
          <w:sz w:val="24"/>
          <w:szCs w:val="24"/>
        </w:rPr>
        <w:t>波动的风险，保持持续稳定的经营效益。</w:t>
      </w:r>
    </w:p>
    <w:p w:rsidR="00F90336" w:rsidRPr="00FC68CC" w:rsidRDefault="00F90336" w:rsidP="00F90336">
      <w:pPr>
        <w:pStyle w:val="a3"/>
        <w:widowControl/>
        <w:spacing w:line="360" w:lineRule="auto"/>
        <w:ind w:firstLineChars="0"/>
        <w:jc w:val="left"/>
        <w:rPr>
          <w:rFonts w:ascii="Times New Roman" w:hAnsi="Times New Roman"/>
          <w:b/>
          <w:color w:val="2B2B2B"/>
          <w:kern w:val="0"/>
          <w:sz w:val="24"/>
          <w:szCs w:val="24"/>
        </w:rPr>
      </w:pPr>
      <w:r w:rsidRPr="00FC68CC">
        <w:rPr>
          <w:rFonts w:ascii="Times New Roman" w:hAnsi="宋体"/>
          <w:b/>
          <w:color w:val="2B2B2B"/>
          <w:kern w:val="0"/>
          <w:sz w:val="24"/>
          <w:szCs w:val="24"/>
        </w:rPr>
        <w:t>三、公司参与期货套</w:t>
      </w:r>
      <w:proofErr w:type="gramStart"/>
      <w:r w:rsidRPr="00FC68CC">
        <w:rPr>
          <w:rFonts w:ascii="Times New Roman" w:hAnsi="宋体"/>
          <w:b/>
          <w:color w:val="2B2B2B"/>
          <w:kern w:val="0"/>
          <w:sz w:val="24"/>
          <w:szCs w:val="24"/>
        </w:rPr>
        <w:t>保交易</w:t>
      </w:r>
      <w:proofErr w:type="gramEnd"/>
      <w:r w:rsidRPr="00FC68CC">
        <w:rPr>
          <w:rFonts w:ascii="Times New Roman" w:hAnsi="宋体"/>
          <w:b/>
          <w:color w:val="2B2B2B"/>
          <w:kern w:val="0"/>
          <w:sz w:val="24"/>
          <w:szCs w:val="24"/>
        </w:rPr>
        <w:t>的准备情况</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公司已根据《深圳证券交易所上市公司信息披露业务备忘录第</w:t>
      </w:r>
      <w:r w:rsidRPr="00FC68CC">
        <w:rPr>
          <w:rFonts w:ascii="Times New Roman" w:hAnsi="Times New Roman"/>
          <w:color w:val="2B2B2B"/>
          <w:kern w:val="0"/>
          <w:sz w:val="24"/>
          <w:szCs w:val="24"/>
        </w:rPr>
        <w:t>25</w:t>
      </w:r>
      <w:r w:rsidRPr="00FC68CC">
        <w:rPr>
          <w:rFonts w:ascii="Times New Roman" w:hAnsi="宋体"/>
          <w:color w:val="2B2B2B"/>
          <w:kern w:val="0"/>
          <w:sz w:val="24"/>
          <w:szCs w:val="24"/>
        </w:rPr>
        <w:t>号</w:t>
      </w:r>
      <w:r w:rsidRPr="00FC68CC">
        <w:rPr>
          <w:rFonts w:ascii="Times New Roman" w:hAnsi="Times New Roman"/>
          <w:color w:val="2B2B2B"/>
          <w:kern w:val="0"/>
          <w:sz w:val="24"/>
          <w:szCs w:val="24"/>
        </w:rPr>
        <w:t>——</w:t>
      </w:r>
      <w:r w:rsidRPr="00FC68CC">
        <w:rPr>
          <w:rFonts w:ascii="Times New Roman" w:hAnsi="宋体"/>
          <w:color w:val="2B2B2B"/>
          <w:kern w:val="0"/>
          <w:sz w:val="24"/>
          <w:szCs w:val="24"/>
        </w:rPr>
        <w:t>商品期货套期保值业务》及《深圳证券交易所上市公司信息披露业务备忘录第</w:t>
      </w:r>
      <w:r w:rsidRPr="00FC68CC">
        <w:rPr>
          <w:rFonts w:ascii="Times New Roman" w:hAnsi="Times New Roman"/>
          <w:color w:val="2B2B2B"/>
          <w:kern w:val="0"/>
          <w:sz w:val="24"/>
          <w:szCs w:val="24"/>
        </w:rPr>
        <w:t>26</w:t>
      </w:r>
      <w:r w:rsidRPr="00FC68CC">
        <w:rPr>
          <w:rFonts w:ascii="Times New Roman" w:hAnsi="宋体"/>
          <w:color w:val="2B2B2B"/>
          <w:kern w:val="0"/>
          <w:sz w:val="24"/>
          <w:szCs w:val="24"/>
        </w:rPr>
        <w:t>号</w:t>
      </w:r>
      <w:r w:rsidRPr="00FC68CC">
        <w:rPr>
          <w:rFonts w:ascii="Times New Roman" w:hAnsi="Times New Roman"/>
          <w:color w:val="2B2B2B"/>
          <w:kern w:val="0"/>
          <w:sz w:val="24"/>
          <w:szCs w:val="24"/>
        </w:rPr>
        <w:t>——</w:t>
      </w:r>
      <w:r w:rsidRPr="00FC68CC">
        <w:rPr>
          <w:rFonts w:ascii="Times New Roman" w:hAnsi="宋体"/>
          <w:color w:val="2B2B2B"/>
          <w:kern w:val="0"/>
          <w:sz w:val="24"/>
          <w:szCs w:val="24"/>
        </w:rPr>
        <w:t>衍生品投资》等相关规定制定了《商品期货套期保值管理制度》，对期货套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的组织机构、授权制度、交易计划、交易管理、档案管理、保密制度、</w:t>
      </w:r>
      <w:r w:rsidRPr="00FC68CC">
        <w:rPr>
          <w:rFonts w:ascii="Times New Roman" w:hAnsi="宋体"/>
          <w:color w:val="2B2B2B"/>
          <w:kern w:val="0"/>
          <w:sz w:val="24"/>
          <w:szCs w:val="24"/>
        </w:rPr>
        <w:lastRenderedPageBreak/>
        <w:t>信息披露和会计政策等</w:t>
      </w:r>
      <w:proofErr w:type="gramStart"/>
      <w:r w:rsidRPr="00FC68CC">
        <w:rPr>
          <w:rFonts w:ascii="Times New Roman" w:hAnsi="宋体"/>
          <w:color w:val="2B2B2B"/>
          <w:kern w:val="0"/>
          <w:sz w:val="24"/>
          <w:szCs w:val="24"/>
        </w:rPr>
        <w:t>作出</w:t>
      </w:r>
      <w:proofErr w:type="gramEnd"/>
      <w:r w:rsidRPr="00FC68CC">
        <w:rPr>
          <w:rFonts w:ascii="Times New Roman" w:hAnsi="宋体"/>
          <w:color w:val="2B2B2B"/>
          <w:kern w:val="0"/>
          <w:sz w:val="24"/>
          <w:szCs w:val="24"/>
        </w:rPr>
        <w:t>了明确规定。参与期货套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的人员均为专业人士，充分理解拟交易衍生品的特点及风险。</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四、期货套</w:t>
      </w:r>
      <w:proofErr w:type="gramStart"/>
      <w:r w:rsidRPr="00FC68CC">
        <w:rPr>
          <w:rFonts w:ascii="Times New Roman" w:hAnsi="宋体"/>
          <w:b/>
          <w:color w:val="2B2B2B"/>
          <w:kern w:val="0"/>
          <w:sz w:val="24"/>
          <w:szCs w:val="24"/>
        </w:rPr>
        <w:t>保交易</w:t>
      </w:r>
      <w:proofErr w:type="gramEnd"/>
      <w:r w:rsidRPr="00FC68CC">
        <w:rPr>
          <w:rFonts w:ascii="Times New Roman" w:hAnsi="宋体"/>
          <w:b/>
          <w:color w:val="2B2B2B"/>
          <w:kern w:val="0"/>
          <w:sz w:val="24"/>
          <w:szCs w:val="24"/>
        </w:rPr>
        <w:t>的风险分析</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1. </w:t>
      </w:r>
      <w:r w:rsidRPr="00FC68CC">
        <w:rPr>
          <w:rFonts w:ascii="Times New Roman" w:hAnsi="宋体"/>
          <w:color w:val="2B2B2B"/>
          <w:kern w:val="0"/>
          <w:sz w:val="24"/>
          <w:szCs w:val="24"/>
        </w:rPr>
        <w:t>法律风险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因相关法律制度发生重大变化可能造成合约无法正常执行而给公司带来损失。如果公司选择的期货公司在交易过程中存在违法违规经营行为，也可能给公司带来损失。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2. </w:t>
      </w:r>
      <w:r w:rsidRPr="00FC68CC">
        <w:rPr>
          <w:rFonts w:ascii="Times New Roman" w:hAnsi="宋体"/>
          <w:color w:val="2B2B2B"/>
          <w:kern w:val="0"/>
          <w:sz w:val="24"/>
          <w:szCs w:val="24"/>
        </w:rPr>
        <w:t>市场风险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由于保证金交易具有杠杆性，当出现不利行情时，价格微小的变动就可能会使公司权益遭受损失。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3. </w:t>
      </w:r>
      <w:r w:rsidRPr="00FC68CC">
        <w:rPr>
          <w:rFonts w:ascii="Times New Roman" w:hAnsi="宋体"/>
          <w:color w:val="2B2B2B"/>
          <w:kern w:val="0"/>
          <w:sz w:val="24"/>
          <w:szCs w:val="24"/>
        </w:rPr>
        <w:t>操作风险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行情系统、下单系统等可能出现技术故障，导致无法获得行情或无法下单</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或者由于操作人员出现操作失误，都可能会造成损失。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4. </w:t>
      </w:r>
      <w:r w:rsidRPr="00FC68CC">
        <w:rPr>
          <w:rFonts w:ascii="Times New Roman" w:hAnsi="宋体"/>
          <w:color w:val="2B2B2B"/>
          <w:kern w:val="0"/>
          <w:sz w:val="24"/>
          <w:szCs w:val="24"/>
        </w:rPr>
        <w:t>流动性风险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当公司无法及时补足保证金时，可能会被强制平仓而遭受损失。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5. </w:t>
      </w:r>
      <w:r w:rsidRPr="00FC68CC">
        <w:rPr>
          <w:rFonts w:ascii="Times New Roman" w:hAnsi="宋体"/>
          <w:color w:val="2B2B2B"/>
          <w:kern w:val="0"/>
          <w:sz w:val="24"/>
          <w:szCs w:val="24"/>
        </w:rPr>
        <w:t>信用风险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交易价格出现对交易对方不利的大幅度波动时，交易对方可能违反合同的相关规定，取消合同，造成公司损失。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五、风险管理策略的说明</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公司参与期货套保交易是为了开拓采购和销售渠道，规避价格波动带来的风险。公司《商品期货套期保值管理制度》规定</w:t>
      </w:r>
      <w:r w:rsidR="00382B6E">
        <w:rPr>
          <w:rFonts w:ascii="Times New Roman" w:hAnsi="Times New Roman" w:hint="eastAsia"/>
          <w:color w:val="2B2B2B"/>
          <w:kern w:val="0"/>
          <w:sz w:val="24"/>
          <w:szCs w:val="24"/>
        </w:rPr>
        <w:t>：</w:t>
      </w:r>
      <w:r w:rsidRPr="00FC68CC">
        <w:rPr>
          <w:rFonts w:ascii="Times New Roman" w:hAnsi="宋体"/>
          <w:color w:val="2B2B2B"/>
          <w:kern w:val="0"/>
          <w:sz w:val="24"/>
          <w:szCs w:val="24"/>
        </w:rPr>
        <w:t>从事期货套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活动时严禁投机。</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公司将严格按照《商品期货套期保值管理制度》的规定来安排计划、审批、指令下达、操作、稽查、审计等环节并进行相应的风险控制和管理。</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六、期货公允价值分析</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品种均在场内的郑州商品期货交易所和纽约商品交易所</w:t>
      </w:r>
      <w:r w:rsidR="00213704">
        <w:rPr>
          <w:rFonts w:ascii="Times New Roman" w:hAnsi="宋体" w:hint="eastAsia"/>
          <w:color w:val="2B2B2B"/>
          <w:kern w:val="0"/>
          <w:sz w:val="24"/>
          <w:szCs w:val="24"/>
        </w:rPr>
        <w:t>等</w:t>
      </w:r>
      <w:r w:rsidRPr="00FC68CC">
        <w:rPr>
          <w:rFonts w:ascii="Times New Roman" w:hAnsi="宋体"/>
          <w:color w:val="2B2B2B"/>
          <w:kern w:val="0"/>
          <w:sz w:val="24"/>
          <w:szCs w:val="24"/>
        </w:rPr>
        <w:t>交易，市场透明度大，成交活跃，成交价格和当日结算单价能充分反映衍生品的公允价值。</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七、会计政策及核算原则</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相关会计政策及核算原则按照中华人民共和国财政部发布的《企业会计准则》及相关规定执行。</w:t>
      </w:r>
    </w:p>
    <w:p w:rsidR="00F90336" w:rsidRPr="00FC68CC" w:rsidRDefault="00F90336" w:rsidP="00F90336">
      <w:pPr>
        <w:widowControl/>
        <w:spacing w:line="360" w:lineRule="auto"/>
        <w:ind w:leftChars="171" w:left="359" w:firstLineChars="25" w:firstLine="60"/>
        <w:jc w:val="left"/>
        <w:rPr>
          <w:rFonts w:ascii="Times New Roman" w:hAnsi="Times New Roman"/>
          <w:b/>
          <w:color w:val="2B2B2B"/>
          <w:kern w:val="0"/>
          <w:sz w:val="24"/>
          <w:szCs w:val="24"/>
        </w:rPr>
      </w:pPr>
      <w:r w:rsidRPr="00FC68CC">
        <w:rPr>
          <w:rFonts w:ascii="Times New Roman" w:hAnsi="宋体"/>
          <w:b/>
          <w:color w:val="2B2B2B"/>
          <w:kern w:val="0"/>
          <w:sz w:val="24"/>
          <w:szCs w:val="24"/>
        </w:rPr>
        <w:t>八、独立董事专项意见</w:t>
      </w:r>
    </w:p>
    <w:p w:rsidR="00F90336" w:rsidRPr="00FC68CC" w:rsidRDefault="00F90336" w:rsidP="00F90336">
      <w:pPr>
        <w:widowControl/>
        <w:spacing w:line="360" w:lineRule="auto"/>
        <w:ind w:leftChars="171" w:left="359" w:firstLineChars="25" w:firstLine="60"/>
        <w:jc w:val="left"/>
        <w:rPr>
          <w:rFonts w:ascii="Times New Roman" w:hAnsi="Times New Roman"/>
          <w:color w:val="2B2B2B"/>
          <w:kern w:val="0"/>
          <w:sz w:val="24"/>
          <w:szCs w:val="24"/>
        </w:rPr>
      </w:pPr>
      <w:r w:rsidRPr="00FC68CC">
        <w:rPr>
          <w:rFonts w:ascii="Times New Roman" w:hAnsi="宋体"/>
          <w:color w:val="2B2B2B"/>
          <w:kern w:val="0"/>
          <w:sz w:val="24"/>
          <w:szCs w:val="24"/>
        </w:rPr>
        <w:t>根据《深圳证券交易所股票上市规则》、</w:t>
      </w:r>
      <w:proofErr w:type="gramStart"/>
      <w:r w:rsidRPr="00FC68CC">
        <w:rPr>
          <w:rFonts w:ascii="Times New Roman" w:hAnsi="宋体"/>
          <w:color w:val="2B2B2B"/>
          <w:kern w:val="0"/>
          <w:sz w:val="24"/>
          <w:szCs w:val="24"/>
        </w:rPr>
        <w:t>《</w:t>
      </w:r>
      <w:proofErr w:type="gramEnd"/>
      <w:r w:rsidRPr="00FC68CC">
        <w:rPr>
          <w:rFonts w:ascii="Times New Roman" w:hAnsi="宋体"/>
          <w:color w:val="2B2B2B"/>
          <w:kern w:val="0"/>
          <w:sz w:val="24"/>
          <w:szCs w:val="24"/>
        </w:rPr>
        <w:t>关于在上市公司建立独立董事制</w:t>
      </w:r>
    </w:p>
    <w:p w:rsidR="00F90336" w:rsidRPr="00FC68CC" w:rsidRDefault="00F90336" w:rsidP="00F90336">
      <w:pPr>
        <w:widowControl/>
        <w:spacing w:line="360" w:lineRule="auto"/>
        <w:jc w:val="left"/>
        <w:rPr>
          <w:rFonts w:ascii="Times New Roman" w:hAnsi="Times New Roman"/>
          <w:color w:val="2B2B2B"/>
          <w:kern w:val="0"/>
          <w:sz w:val="24"/>
          <w:szCs w:val="24"/>
        </w:rPr>
      </w:pPr>
      <w:r w:rsidRPr="00FC68CC">
        <w:rPr>
          <w:rFonts w:ascii="Times New Roman" w:hAnsi="宋体"/>
          <w:color w:val="2B2B2B"/>
          <w:kern w:val="0"/>
          <w:sz w:val="24"/>
          <w:szCs w:val="24"/>
        </w:rPr>
        <w:lastRenderedPageBreak/>
        <w:t>度的指导意见</w:t>
      </w:r>
      <w:proofErr w:type="gramStart"/>
      <w:r w:rsidRPr="00FC68CC">
        <w:rPr>
          <w:rFonts w:ascii="Times New Roman" w:hAnsi="宋体"/>
          <w:color w:val="2B2B2B"/>
          <w:kern w:val="0"/>
          <w:sz w:val="24"/>
          <w:szCs w:val="24"/>
        </w:rPr>
        <w:t>》</w:t>
      </w:r>
      <w:proofErr w:type="gramEnd"/>
      <w:r w:rsidRPr="00FC68CC">
        <w:rPr>
          <w:rFonts w:ascii="Times New Roman" w:hAnsi="宋体"/>
          <w:color w:val="2B2B2B"/>
          <w:kern w:val="0"/>
          <w:sz w:val="24"/>
          <w:szCs w:val="24"/>
        </w:rPr>
        <w:t>和《公司章程》的有关规定，公司独立董事就公司参与期货套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发表以下独立意见</w:t>
      </w:r>
      <w:r w:rsidRPr="00FC68CC">
        <w:rPr>
          <w:rFonts w:ascii="Times New Roman" w:hAnsi="Times New Roman" w:hint="eastAsia"/>
          <w:color w:val="2B2B2B"/>
          <w:kern w:val="0"/>
          <w:sz w:val="24"/>
          <w:szCs w:val="24"/>
        </w:rPr>
        <w:t>：</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1. </w:t>
      </w:r>
      <w:r w:rsidRPr="00FC68CC">
        <w:rPr>
          <w:rFonts w:ascii="Times New Roman" w:hAnsi="宋体"/>
          <w:color w:val="2B2B2B"/>
          <w:kern w:val="0"/>
          <w:sz w:val="24"/>
          <w:szCs w:val="24"/>
        </w:rPr>
        <w:t>公司使用自有资金参与期货套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的相关审批程序符合国家相关法律、法规及《公司章程》的有关规定。</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2. </w:t>
      </w:r>
      <w:r w:rsidRPr="00FC68CC">
        <w:rPr>
          <w:rFonts w:ascii="Times New Roman" w:hAnsi="宋体"/>
          <w:color w:val="2B2B2B"/>
          <w:kern w:val="0"/>
          <w:sz w:val="24"/>
          <w:szCs w:val="24"/>
        </w:rPr>
        <w:t>公司已就参与期货套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建立了健全的组织机构及公司《商品期货套期保值管理制度》。</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3. </w:t>
      </w:r>
      <w:r w:rsidRPr="00FC68CC">
        <w:rPr>
          <w:rFonts w:ascii="Times New Roman" w:hAnsi="宋体"/>
          <w:color w:val="2B2B2B"/>
          <w:kern w:val="0"/>
          <w:sz w:val="24"/>
          <w:szCs w:val="24"/>
        </w:rPr>
        <w:t>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仅限于与企业正常生产经所营所使用的</w:t>
      </w:r>
      <w:r w:rsidR="00213704">
        <w:rPr>
          <w:rFonts w:ascii="Times New Roman" w:hAnsi="宋体" w:hint="eastAsia"/>
          <w:color w:val="2B2B2B"/>
          <w:kern w:val="0"/>
          <w:sz w:val="24"/>
          <w:szCs w:val="24"/>
        </w:rPr>
        <w:t>棉花</w:t>
      </w:r>
      <w:r w:rsidRPr="00FC68CC">
        <w:rPr>
          <w:rFonts w:ascii="Times New Roman" w:hAnsi="宋体"/>
          <w:color w:val="2B2B2B"/>
          <w:kern w:val="0"/>
          <w:sz w:val="24"/>
          <w:szCs w:val="24"/>
        </w:rPr>
        <w:t>原材料</w:t>
      </w:r>
      <w:r w:rsidR="00213704">
        <w:rPr>
          <w:rFonts w:ascii="Times New Roman" w:hAnsi="宋体" w:hint="eastAsia"/>
          <w:color w:val="2B2B2B"/>
          <w:kern w:val="0"/>
          <w:sz w:val="24"/>
          <w:szCs w:val="24"/>
        </w:rPr>
        <w:t>和棉纱</w:t>
      </w:r>
      <w:r w:rsidRPr="00FC68CC">
        <w:rPr>
          <w:rFonts w:ascii="Times New Roman" w:hAnsi="宋体"/>
          <w:color w:val="2B2B2B"/>
          <w:kern w:val="0"/>
          <w:sz w:val="24"/>
          <w:szCs w:val="24"/>
        </w:rPr>
        <w:t>，不存在损害公司和全体股东利益的情形。</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综上所述，我们认为公司将期货套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作为拓宽采购渠道的途径以及规避原材料价格波动风险的有效工具，通过加强内部控制和管理，落实风险防范措施，提高经营水平，有利于公司实现持续</w:t>
      </w:r>
      <w:r w:rsidR="00FA217B">
        <w:rPr>
          <w:rFonts w:ascii="Times New Roman" w:hAnsi="宋体"/>
          <w:color w:val="2B2B2B"/>
          <w:kern w:val="0"/>
          <w:sz w:val="24"/>
          <w:szCs w:val="24"/>
        </w:rPr>
        <w:t>稳定的经营效益。公司参与期货套</w:t>
      </w:r>
      <w:proofErr w:type="gramStart"/>
      <w:r w:rsidR="00FA217B">
        <w:rPr>
          <w:rFonts w:ascii="Times New Roman" w:hAnsi="宋体"/>
          <w:color w:val="2B2B2B"/>
          <w:kern w:val="0"/>
          <w:sz w:val="24"/>
          <w:szCs w:val="24"/>
        </w:rPr>
        <w:t>保交易</w:t>
      </w:r>
      <w:proofErr w:type="gramEnd"/>
      <w:r w:rsidR="00FA217B">
        <w:rPr>
          <w:rFonts w:ascii="Times New Roman" w:hAnsi="宋体"/>
          <w:color w:val="2B2B2B"/>
          <w:kern w:val="0"/>
          <w:sz w:val="24"/>
          <w:szCs w:val="24"/>
        </w:rPr>
        <w:t>是必要的，风险是可以控制的</w:t>
      </w:r>
      <w:r w:rsidR="00FA217B">
        <w:rPr>
          <w:rFonts w:ascii="Times New Roman" w:hAnsi="宋体" w:hint="eastAsia"/>
          <w:color w:val="2B2B2B"/>
          <w:kern w:val="0"/>
          <w:sz w:val="24"/>
          <w:szCs w:val="24"/>
        </w:rPr>
        <w:t>。</w:t>
      </w:r>
      <w:r w:rsidR="00FA217B">
        <w:rPr>
          <w:rFonts w:ascii="Times New Roman" w:hAnsi="Times New Roman" w:hint="eastAsia"/>
          <w:color w:val="2B2B2B"/>
          <w:kern w:val="0"/>
          <w:sz w:val="24"/>
          <w:szCs w:val="24"/>
        </w:rPr>
        <w:t>我们同意该事项。</w:t>
      </w:r>
    </w:p>
    <w:p w:rsidR="00FE308B" w:rsidRPr="00FE308B" w:rsidRDefault="00FE308B" w:rsidP="00F90336">
      <w:pPr>
        <w:widowControl/>
        <w:spacing w:line="360" w:lineRule="auto"/>
        <w:ind w:firstLine="420"/>
        <w:jc w:val="left"/>
        <w:rPr>
          <w:rFonts w:ascii="Times New Roman" w:hAnsi="宋体"/>
          <w:b/>
          <w:color w:val="2B2B2B"/>
          <w:kern w:val="0"/>
          <w:sz w:val="24"/>
          <w:szCs w:val="24"/>
        </w:rPr>
      </w:pPr>
      <w:r w:rsidRPr="00FE308B">
        <w:rPr>
          <w:rFonts w:ascii="Times New Roman" w:hAnsi="宋体" w:hint="eastAsia"/>
          <w:b/>
          <w:color w:val="2B2B2B"/>
          <w:kern w:val="0"/>
          <w:sz w:val="24"/>
          <w:szCs w:val="24"/>
        </w:rPr>
        <w:t>九、备查文件</w:t>
      </w:r>
    </w:p>
    <w:p w:rsidR="00FE308B" w:rsidRDefault="00FE308B" w:rsidP="00F90336">
      <w:pPr>
        <w:widowControl/>
        <w:spacing w:line="360" w:lineRule="auto"/>
        <w:ind w:firstLine="420"/>
        <w:jc w:val="left"/>
        <w:rPr>
          <w:rFonts w:ascii="Times New Roman" w:hAnsi="宋体"/>
          <w:color w:val="2B2B2B"/>
          <w:kern w:val="0"/>
          <w:sz w:val="24"/>
          <w:szCs w:val="24"/>
        </w:rPr>
      </w:pPr>
      <w:r>
        <w:rPr>
          <w:rFonts w:ascii="Times New Roman" w:hAnsi="宋体" w:hint="eastAsia"/>
          <w:color w:val="2B2B2B"/>
          <w:kern w:val="0"/>
          <w:sz w:val="24"/>
          <w:szCs w:val="24"/>
        </w:rPr>
        <w:t>1</w:t>
      </w:r>
      <w:r>
        <w:rPr>
          <w:rFonts w:ascii="Times New Roman" w:hAnsi="宋体" w:hint="eastAsia"/>
          <w:color w:val="2B2B2B"/>
          <w:kern w:val="0"/>
          <w:sz w:val="24"/>
          <w:szCs w:val="24"/>
        </w:rPr>
        <w:t>、公司第六届董事会第十次会议决议。</w:t>
      </w:r>
    </w:p>
    <w:p w:rsidR="00FA217B" w:rsidRDefault="00FA217B" w:rsidP="00FA217B">
      <w:pPr>
        <w:widowControl/>
        <w:spacing w:line="360" w:lineRule="auto"/>
        <w:ind w:firstLine="420"/>
        <w:jc w:val="left"/>
        <w:rPr>
          <w:rFonts w:ascii="Times New Roman" w:hAnsi="宋体"/>
          <w:color w:val="2B2B2B"/>
          <w:kern w:val="0"/>
          <w:sz w:val="24"/>
          <w:szCs w:val="24"/>
        </w:rPr>
      </w:pPr>
    </w:p>
    <w:p w:rsidR="00FA217B" w:rsidRDefault="00FA217B" w:rsidP="00FA217B">
      <w:pPr>
        <w:widowControl/>
        <w:spacing w:line="360" w:lineRule="auto"/>
        <w:ind w:firstLine="420"/>
        <w:jc w:val="left"/>
        <w:rPr>
          <w:rFonts w:ascii="Times New Roman" w:hAnsi="宋体"/>
          <w:color w:val="2B2B2B"/>
          <w:kern w:val="0"/>
          <w:sz w:val="24"/>
          <w:szCs w:val="24"/>
        </w:rPr>
      </w:pPr>
      <w:r w:rsidRPr="00F75733">
        <w:rPr>
          <w:rFonts w:ascii="Times New Roman" w:hAnsi="宋体"/>
          <w:color w:val="2B2B2B"/>
          <w:kern w:val="0"/>
          <w:sz w:val="24"/>
          <w:szCs w:val="24"/>
        </w:rPr>
        <w:t>特此公告。</w:t>
      </w:r>
    </w:p>
    <w:p w:rsidR="00F90336" w:rsidRPr="009916F6" w:rsidRDefault="00F90336" w:rsidP="00F90336">
      <w:pPr>
        <w:widowControl/>
        <w:spacing w:line="360" w:lineRule="auto"/>
        <w:ind w:firstLine="420"/>
        <w:jc w:val="right"/>
        <w:rPr>
          <w:rFonts w:ascii="Times New Roman" w:hAnsi="宋体"/>
          <w:color w:val="2B2B2B"/>
          <w:kern w:val="0"/>
          <w:sz w:val="24"/>
          <w:szCs w:val="24"/>
        </w:rPr>
      </w:pPr>
      <w:r w:rsidRPr="009916F6">
        <w:rPr>
          <w:rFonts w:ascii="Times New Roman" w:hAnsi="宋体"/>
          <w:color w:val="2B2B2B"/>
          <w:kern w:val="0"/>
          <w:sz w:val="24"/>
          <w:szCs w:val="24"/>
        </w:rPr>
        <w:t>华孚</w:t>
      </w:r>
      <w:r w:rsidR="004733ED">
        <w:rPr>
          <w:rFonts w:ascii="Times New Roman" w:hAnsi="宋体"/>
          <w:color w:val="2B2B2B"/>
          <w:kern w:val="0"/>
          <w:sz w:val="24"/>
          <w:szCs w:val="24"/>
        </w:rPr>
        <w:t>时尚</w:t>
      </w:r>
      <w:r w:rsidRPr="009916F6">
        <w:rPr>
          <w:rFonts w:ascii="Times New Roman" w:hAnsi="宋体"/>
          <w:color w:val="2B2B2B"/>
          <w:kern w:val="0"/>
          <w:sz w:val="24"/>
          <w:szCs w:val="24"/>
        </w:rPr>
        <w:t>股份有限公司董事会</w:t>
      </w:r>
    </w:p>
    <w:p w:rsidR="00F90336" w:rsidRPr="00380961" w:rsidRDefault="00F90336" w:rsidP="00F90336">
      <w:pPr>
        <w:widowControl/>
        <w:spacing w:line="360" w:lineRule="auto"/>
        <w:ind w:firstLine="420"/>
        <w:jc w:val="right"/>
        <w:rPr>
          <w:rFonts w:ascii="Times New Roman" w:hAnsi="Times New Roman"/>
          <w:color w:val="2B2B2B"/>
          <w:kern w:val="0"/>
          <w:sz w:val="24"/>
          <w:szCs w:val="24"/>
        </w:rPr>
      </w:pPr>
      <w:r w:rsidRPr="009916F6">
        <w:rPr>
          <w:rFonts w:ascii="Times New Roman" w:hAnsi="宋体"/>
          <w:color w:val="2B2B2B"/>
          <w:kern w:val="0"/>
          <w:sz w:val="24"/>
          <w:szCs w:val="24"/>
        </w:rPr>
        <w:t>二</w:t>
      </w:r>
      <w:r w:rsidRPr="009916F6">
        <w:rPr>
          <w:rFonts w:ascii="Times New Roman" w:hAnsi="宋体" w:hint="eastAsia"/>
          <w:color w:val="2B2B2B"/>
          <w:kern w:val="0"/>
          <w:sz w:val="24"/>
          <w:szCs w:val="24"/>
        </w:rPr>
        <w:t>〇一</w:t>
      </w:r>
      <w:r w:rsidR="004733ED">
        <w:rPr>
          <w:rFonts w:ascii="Times New Roman" w:hAnsi="宋体" w:hint="eastAsia"/>
          <w:color w:val="2B2B2B"/>
          <w:kern w:val="0"/>
          <w:sz w:val="24"/>
          <w:szCs w:val="24"/>
        </w:rPr>
        <w:t>八</w:t>
      </w:r>
      <w:r w:rsidRPr="009916F6">
        <w:rPr>
          <w:rFonts w:ascii="Times New Roman" w:hAnsi="宋体" w:hint="eastAsia"/>
          <w:color w:val="2B2B2B"/>
          <w:kern w:val="0"/>
          <w:sz w:val="24"/>
          <w:szCs w:val="24"/>
        </w:rPr>
        <w:t>年</w:t>
      </w:r>
      <w:r w:rsidR="00FE308B">
        <w:rPr>
          <w:rFonts w:ascii="Times New Roman" w:hAnsi="宋体" w:hint="eastAsia"/>
          <w:color w:val="2B2B2B"/>
          <w:kern w:val="0"/>
          <w:sz w:val="24"/>
          <w:szCs w:val="24"/>
        </w:rPr>
        <w:t>四</w:t>
      </w:r>
      <w:r w:rsidRPr="009916F6">
        <w:rPr>
          <w:rFonts w:ascii="Times New Roman" w:hAnsi="宋体" w:hint="eastAsia"/>
          <w:color w:val="2B2B2B"/>
          <w:kern w:val="0"/>
          <w:sz w:val="24"/>
          <w:szCs w:val="24"/>
        </w:rPr>
        <w:t>月</w:t>
      </w:r>
      <w:r w:rsidR="00FE308B">
        <w:rPr>
          <w:rFonts w:ascii="Times New Roman" w:hAnsi="宋体" w:hint="eastAsia"/>
          <w:color w:val="2B2B2B"/>
          <w:kern w:val="0"/>
          <w:sz w:val="24"/>
          <w:szCs w:val="24"/>
        </w:rPr>
        <w:t>二十六</w:t>
      </w:r>
      <w:r w:rsidRPr="009916F6">
        <w:rPr>
          <w:rFonts w:ascii="Times New Roman" w:hAnsi="宋体"/>
          <w:color w:val="2B2B2B"/>
          <w:kern w:val="0"/>
          <w:sz w:val="24"/>
          <w:szCs w:val="24"/>
        </w:rPr>
        <w:t>日</w:t>
      </w:r>
    </w:p>
    <w:p w:rsidR="00F90336" w:rsidRPr="00380961" w:rsidRDefault="00F90336" w:rsidP="00F90336">
      <w:pPr>
        <w:spacing w:line="360" w:lineRule="auto"/>
        <w:rPr>
          <w:rFonts w:ascii="Times New Roman" w:hAnsi="Times New Roman"/>
          <w:sz w:val="24"/>
          <w:szCs w:val="24"/>
        </w:rPr>
      </w:pPr>
    </w:p>
    <w:p w:rsidR="0060371E" w:rsidRDefault="0060371E">
      <w:bookmarkStart w:id="0" w:name="_GoBack"/>
      <w:bookmarkEnd w:id="0"/>
    </w:p>
    <w:sectPr w:rsidR="0060371E" w:rsidSect="00432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65" w:rsidRDefault="000C2265" w:rsidP="005A75C3">
      <w:r>
        <w:separator/>
      </w:r>
    </w:p>
  </w:endnote>
  <w:endnote w:type="continuationSeparator" w:id="0">
    <w:p w:rsidR="000C2265" w:rsidRDefault="000C2265" w:rsidP="005A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65" w:rsidRDefault="000C2265" w:rsidP="005A75C3">
      <w:r>
        <w:separator/>
      </w:r>
    </w:p>
  </w:footnote>
  <w:footnote w:type="continuationSeparator" w:id="0">
    <w:p w:rsidR="000C2265" w:rsidRDefault="000C2265" w:rsidP="005A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36"/>
    <w:rsid w:val="000C2265"/>
    <w:rsid w:val="00110CA2"/>
    <w:rsid w:val="00160828"/>
    <w:rsid w:val="00171561"/>
    <w:rsid w:val="001834CB"/>
    <w:rsid w:val="001C67FE"/>
    <w:rsid w:val="00213704"/>
    <w:rsid w:val="00287EF9"/>
    <w:rsid w:val="00382B6E"/>
    <w:rsid w:val="003E3AAF"/>
    <w:rsid w:val="004311AF"/>
    <w:rsid w:val="004733ED"/>
    <w:rsid w:val="004E7761"/>
    <w:rsid w:val="00583371"/>
    <w:rsid w:val="005A6AAE"/>
    <w:rsid w:val="005A75C3"/>
    <w:rsid w:val="005C6441"/>
    <w:rsid w:val="0060371E"/>
    <w:rsid w:val="00630782"/>
    <w:rsid w:val="00630EA9"/>
    <w:rsid w:val="00666BB4"/>
    <w:rsid w:val="00677B15"/>
    <w:rsid w:val="006822AB"/>
    <w:rsid w:val="00690F14"/>
    <w:rsid w:val="006D64E6"/>
    <w:rsid w:val="00832685"/>
    <w:rsid w:val="00841BE8"/>
    <w:rsid w:val="00862A46"/>
    <w:rsid w:val="008C75BA"/>
    <w:rsid w:val="009D0419"/>
    <w:rsid w:val="00A22881"/>
    <w:rsid w:val="00A23BEE"/>
    <w:rsid w:val="00A8683C"/>
    <w:rsid w:val="00AC591E"/>
    <w:rsid w:val="00B363DF"/>
    <w:rsid w:val="00B73A9F"/>
    <w:rsid w:val="00BF13AE"/>
    <w:rsid w:val="00CF0030"/>
    <w:rsid w:val="00D851B2"/>
    <w:rsid w:val="00DA360D"/>
    <w:rsid w:val="00E6635B"/>
    <w:rsid w:val="00F01039"/>
    <w:rsid w:val="00F54AEF"/>
    <w:rsid w:val="00F758CC"/>
    <w:rsid w:val="00F90336"/>
    <w:rsid w:val="00FA217B"/>
    <w:rsid w:val="00FE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266</Words>
  <Characters>1517</Characters>
  <Application>Microsoft Office Word</Application>
  <DocSecurity>0</DocSecurity>
  <Lines>12</Lines>
  <Paragraphs>3</Paragraphs>
  <ScaleCrop>false</ScaleCrop>
  <Company>Lenovo</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dcterms:created xsi:type="dcterms:W3CDTF">2018-01-10T06:30:00Z</dcterms:created>
  <dcterms:modified xsi:type="dcterms:W3CDTF">2018-04-21T03:22:00Z</dcterms:modified>
</cp:coreProperties>
</file>