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3B" w:rsidRPr="00BA452D" w:rsidRDefault="00AC123B" w:rsidP="00AC123B">
      <w:pPr>
        <w:wordWrap w:val="0"/>
        <w:ind w:left="284"/>
        <w:rPr>
          <w:b/>
          <w:color w:val="000000" w:themeColor="text1"/>
        </w:rPr>
      </w:pPr>
      <w:r w:rsidRPr="00BA452D">
        <w:rPr>
          <w:rFonts w:hint="eastAsia"/>
          <w:b/>
          <w:color w:val="000000" w:themeColor="text1"/>
        </w:rPr>
        <w:t>证券代码：</w:t>
      </w:r>
      <w:r w:rsidRPr="00BA452D">
        <w:rPr>
          <w:rFonts w:hint="eastAsia"/>
          <w:b/>
          <w:color w:val="000000" w:themeColor="text1"/>
        </w:rPr>
        <w:t xml:space="preserve">002042            </w:t>
      </w:r>
      <w:r w:rsidRPr="00BA452D">
        <w:rPr>
          <w:rFonts w:hint="eastAsia"/>
          <w:b/>
          <w:color w:val="000000" w:themeColor="text1"/>
        </w:rPr>
        <w:t>证券简称：华孚色纺</w:t>
      </w:r>
      <w:r w:rsidRPr="00BA452D">
        <w:rPr>
          <w:rFonts w:hint="eastAsia"/>
          <w:b/>
          <w:color w:val="000000" w:themeColor="text1"/>
        </w:rPr>
        <w:t xml:space="preserve">            </w:t>
      </w:r>
      <w:r w:rsidRPr="00BA452D">
        <w:rPr>
          <w:rFonts w:hint="eastAsia"/>
          <w:b/>
          <w:color w:val="000000" w:themeColor="text1"/>
        </w:rPr>
        <w:t>公告编号：</w:t>
      </w:r>
      <w:r w:rsidRPr="00BA452D">
        <w:rPr>
          <w:rFonts w:hint="eastAsia"/>
          <w:b/>
          <w:color w:val="000000" w:themeColor="text1"/>
        </w:rPr>
        <w:t>201</w:t>
      </w:r>
      <w:r>
        <w:rPr>
          <w:rFonts w:hint="eastAsia"/>
          <w:b/>
          <w:color w:val="000000" w:themeColor="text1"/>
        </w:rPr>
        <w:t>7</w:t>
      </w:r>
      <w:r w:rsidRPr="00BA452D">
        <w:rPr>
          <w:rFonts w:hint="eastAsia"/>
          <w:b/>
          <w:color w:val="000000" w:themeColor="text1"/>
        </w:rPr>
        <w:t>-</w:t>
      </w:r>
      <w:r>
        <w:rPr>
          <w:rFonts w:hint="eastAsia"/>
          <w:b/>
          <w:color w:val="000000" w:themeColor="text1"/>
        </w:rPr>
        <w:t>4</w:t>
      </w:r>
      <w:r w:rsidR="00DD5F9B">
        <w:rPr>
          <w:rFonts w:hint="eastAsia"/>
          <w:b/>
          <w:color w:val="000000" w:themeColor="text1"/>
        </w:rPr>
        <w:t>3</w:t>
      </w:r>
    </w:p>
    <w:p w:rsidR="00AC123B" w:rsidRPr="00BA452D" w:rsidRDefault="00AC123B" w:rsidP="00AC123B">
      <w:pPr>
        <w:wordWrap w:val="0"/>
        <w:spacing w:line="440" w:lineRule="exact"/>
        <w:jc w:val="center"/>
        <w:rPr>
          <w:rFonts w:ascii="宋体" w:hAnsi="宋体"/>
          <w:b/>
          <w:bCs/>
          <w:color w:val="000000" w:themeColor="text1"/>
          <w:sz w:val="24"/>
        </w:rPr>
      </w:pPr>
    </w:p>
    <w:p w:rsidR="00AC123B" w:rsidRPr="00BA452D" w:rsidRDefault="00AC123B" w:rsidP="00AC123B">
      <w:pPr>
        <w:wordWrap w:val="0"/>
        <w:spacing w:line="360" w:lineRule="auto"/>
        <w:jc w:val="center"/>
        <w:rPr>
          <w:b/>
          <w:bCs/>
          <w:color w:val="000000" w:themeColor="text1"/>
          <w:sz w:val="32"/>
          <w:szCs w:val="32"/>
        </w:rPr>
      </w:pPr>
      <w:r w:rsidRPr="00BA452D">
        <w:rPr>
          <w:rFonts w:hint="eastAsia"/>
          <w:b/>
          <w:bCs/>
          <w:color w:val="000000" w:themeColor="text1"/>
          <w:sz w:val="32"/>
          <w:szCs w:val="32"/>
        </w:rPr>
        <w:t>华孚色纺股份有限公司</w:t>
      </w:r>
    </w:p>
    <w:p w:rsidR="00AC123B" w:rsidRPr="00BA452D" w:rsidRDefault="00AC123B" w:rsidP="00AC123B">
      <w:pPr>
        <w:wordWrap w:val="0"/>
        <w:jc w:val="center"/>
        <w:rPr>
          <w:b/>
          <w:bCs/>
          <w:color w:val="000000" w:themeColor="text1"/>
          <w:sz w:val="36"/>
          <w:szCs w:val="36"/>
        </w:rPr>
      </w:pPr>
      <w:r w:rsidRPr="00AC123B">
        <w:rPr>
          <w:rFonts w:hint="eastAsia"/>
          <w:b/>
          <w:bCs/>
          <w:color w:val="000000" w:themeColor="text1"/>
          <w:sz w:val="32"/>
          <w:szCs w:val="32"/>
        </w:rPr>
        <w:t>关于注销部分募集资金专项账户的公告</w:t>
      </w:r>
    </w:p>
    <w:p w:rsidR="00AC123B" w:rsidRDefault="00AC123B" w:rsidP="00AC123B">
      <w:pPr>
        <w:wordWrap w:val="0"/>
        <w:spacing w:line="400" w:lineRule="exact"/>
        <w:ind w:left="284" w:firstLineChars="201" w:firstLine="482"/>
        <w:rPr>
          <w:rFonts w:ascii="华文楷体" w:eastAsia="华文楷体" w:hAnsi="华文楷体"/>
          <w:color w:val="000000" w:themeColor="text1"/>
          <w:sz w:val="24"/>
        </w:rPr>
      </w:pPr>
    </w:p>
    <w:p w:rsidR="00AC123B" w:rsidRPr="00BA452D" w:rsidRDefault="00AC123B" w:rsidP="00AC123B">
      <w:pPr>
        <w:wordWrap w:val="0"/>
        <w:spacing w:line="400" w:lineRule="exact"/>
        <w:ind w:left="284" w:firstLineChars="201" w:firstLine="482"/>
        <w:rPr>
          <w:rFonts w:ascii="华文楷体" w:eastAsia="华文楷体" w:hAnsi="华文楷体"/>
          <w:color w:val="000000" w:themeColor="text1"/>
          <w:sz w:val="24"/>
        </w:rPr>
      </w:pPr>
      <w:r w:rsidRPr="00BA452D">
        <w:rPr>
          <w:rFonts w:ascii="华文楷体" w:eastAsia="华文楷体" w:hAnsi="华文楷体" w:hint="eastAsia"/>
          <w:color w:val="000000" w:themeColor="text1"/>
          <w:sz w:val="24"/>
        </w:rPr>
        <w:t>本公司及董事会全体成员保证信息披露的内容真实、准确、完整，没有虚假记载、误导性陈述或重大遗漏。</w:t>
      </w:r>
    </w:p>
    <w:p w:rsidR="00AC123B" w:rsidRPr="00BA452D" w:rsidRDefault="00AC123B" w:rsidP="00AC123B">
      <w:pPr>
        <w:wordWrap w:val="0"/>
        <w:ind w:firstLineChars="200" w:firstLine="480"/>
        <w:rPr>
          <w:rFonts w:ascii="仿宋_GB2312" w:eastAsia="仿宋_GB2312" w:hAnsi="宋体"/>
          <w:color w:val="000000" w:themeColor="text1"/>
          <w:sz w:val="24"/>
        </w:rPr>
      </w:pPr>
    </w:p>
    <w:p w:rsidR="00AC123B" w:rsidRPr="00077234" w:rsidRDefault="00AC123B" w:rsidP="0048540F">
      <w:pPr>
        <w:wordWrap w:val="0"/>
        <w:spacing w:line="360" w:lineRule="auto"/>
        <w:ind w:firstLine="480"/>
        <w:jc w:val="left"/>
        <w:rPr>
          <w:rFonts w:asciiTheme="minorEastAsia" w:eastAsiaTheme="minorEastAsia" w:hAnsiTheme="minorEastAsia"/>
          <w:b/>
          <w:sz w:val="24"/>
        </w:rPr>
      </w:pPr>
      <w:r w:rsidRPr="00077234">
        <w:rPr>
          <w:rFonts w:asciiTheme="minorEastAsia" w:eastAsiaTheme="minorEastAsia" w:hAnsiTheme="minorEastAsia" w:hint="eastAsia"/>
          <w:b/>
          <w:sz w:val="24"/>
        </w:rPr>
        <w:t>一、募资资金基本情况</w:t>
      </w:r>
    </w:p>
    <w:p w:rsidR="00C8198D" w:rsidRPr="00077234" w:rsidRDefault="00C8198D" w:rsidP="0048540F">
      <w:pPr>
        <w:pStyle w:val="CM1"/>
        <w:wordWrap w:val="0"/>
        <w:spacing w:line="360" w:lineRule="auto"/>
        <w:ind w:firstLine="420"/>
        <w:rPr>
          <w:rFonts w:asciiTheme="minorEastAsia" w:eastAsiaTheme="minorEastAsia" w:hAnsiTheme="minorEastAsia"/>
        </w:rPr>
      </w:pPr>
      <w:r w:rsidRPr="00077234">
        <w:rPr>
          <w:rFonts w:asciiTheme="minorEastAsia" w:eastAsiaTheme="minorEastAsia" w:hAnsiTheme="minorEastAsia" w:cs="宋体" w:hint="eastAsia"/>
          <w:color w:val="000000"/>
        </w:rPr>
        <w:t>经中国证券监督管理委员会《关于核准华孚色纺股份有限公司非公开发行股票的批复》（证监许可〔2016〕3221号）核准，同意华孚色纺股份有限公司（以下简称“公司”）非公开发行不超过</w:t>
      </w:r>
      <w:r w:rsidRPr="00077234">
        <w:rPr>
          <w:rFonts w:asciiTheme="minorEastAsia" w:eastAsiaTheme="minorEastAsia" w:hAnsiTheme="minorEastAsia" w:cs="宋体"/>
          <w:color w:val="000000"/>
        </w:rPr>
        <w:t>174,326,500</w:t>
      </w:r>
      <w:r w:rsidRPr="00077234">
        <w:rPr>
          <w:rFonts w:asciiTheme="minorEastAsia" w:eastAsiaTheme="minorEastAsia" w:hAnsiTheme="minorEastAsia" w:cs="宋体" w:hint="eastAsia"/>
          <w:color w:val="000000"/>
        </w:rPr>
        <w:t>股新股。截至201</w:t>
      </w:r>
      <w:r w:rsidRPr="00077234">
        <w:rPr>
          <w:rFonts w:asciiTheme="minorEastAsia" w:eastAsiaTheme="minorEastAsia" w:hAnsiTheme="minorEastAsia" w:cs="宋体"/>
          <w:color w:val="000000"/>
        </w:rPr>
        <w:t>7</w:t>
      </w:r>
      <w:r w:rsidRPr="00077234">
        <w:rPr>
          <w:rFonts w:asciiTheme="minorEastAsia" w:eastAsiaTheme="minorEastAsia" w:hAnsiTheme="minorEastAsia" w:cs="宋体" w:hint="eastAsia"/>
          <w:color w:val="000000"/>
        </w:rPr>
        <w:t>年</w:t>
      </w:r>
      <w:r w:rsidRPr="00077234">
        <w:rPr>
          <w:rFonts w:asciiTheme="minorEastAsia" w:eastAsiaTheme="minorEastAsia" w:hAnsiTheme="minorEastAsia" w:cs="宋体"/>
          <w:color w:val="000000"/>
        </w:rPr>
        <w:t>2</w:t>
      </w:r>
      <w:r w:rsidRPr="00077234">
        <w:rPr>
          <w:rFonts w:asciiTheme="minorEastAsia" w:eastAsiaTheme="minorEastAsia" w:hAnsiTheme="minorEastAsia" w:cs="宋体" w:hint="eastAsia"/>
          <w:color w:val="000000"/>
        </w:rPr>
        <w:t>月</w:t>
      </w:r>
      <w:r w:rsidRPr="00077234">
        <w:rPr>
          <w:rFonts w:asciiTheme="minorEastAsia" w:eastAsiaTheme="minorEastAsia" w:hAnsiTheme="minorEastAsia" w:cs="宋体"/>
          <w:color w:val="000000"/>
        </w:rPr>
        <w:t>28</w:t>
      </w:r>
      <w:r w:rsidRPr="00077234">
        <w:rPr>
          <w:rFonts w:asciiTheme="minorEastAsia" w:eastAsiaTheme="minorEastAsia" w:hAnsiTheme="minorEastAsia" w:cs="宋体" w:hint="eastAsia"/>
          <w:color w:val="000000"/>
        </w:rPr>
        <w:t>日</w:t>
      </w:r>
      <w:proofErr w:type="gramStart"/>
      <w:r w:rsidRPr="00077234">
        <w:rPr>
          <w:rFonts w:asciiTheme="minorEastAsia" w:eastAsiaTheme="minorEastAsia" w:hAnsiTheme="minorEastAsia" w:cs="宋体" w:hint="eastAsia"/>
          <w:color w:val="000000"/>
        </w:rPr>
        <w:t>止</w:t>
      </w:r>
      <w:proofErr w:type="gramEnd"/>
      <w:r w:rsidRPr="00077234">
        <w:rPr>
          <w:rFonts w:asciiTheme="minorEastAsia" w:eastAsiaTheme="minorEastAsia" w:hAnsiTheme="minorEastAsia" w:cs="宋体" w:hint="eastAsia"/>
          <w:color w:val="000000"/>
        </w:rPr>
        <w:t>公司本次非公开发行股票（A股）174,326,464股，发行价格12.62元/股，募集资金总额人民币2,199,999,975.68元，扣除与发行有关的费用总额人民币19,883,326.46元，实际募集资金净额为人民币2,180,116,649.22元，其以上募集资金已由大华会计师事务所(特殊普通合伙)于2017年3月3日出具的</w:t>
      </w:r>
      <w:proofErr w:type="gramStart"/>
      <w:r w:rsidRPr="00077234">
        <w:rPr>
          <w:rFonts w:asciiTheme="minorEastAsia" w:eastAsiaTheme="minorEastAsia" w:hAnsiTheme="minorEastAsia" w:cs="宋体" w:hint="eastAsia"/>
          <w:color w:val="000000"/>
        </w:rPr>
        <w:t>大华验字</w:t>
      </w:r>
      <w:proofErr w:type="gramEnd"/>
      <w:r w:rsidRPr="00077234">
        <w:rPr>
          <w:rFonts w:asciiTheme="minorEastAsia" w:eastAsiaTheme="minorEastAsia" w:hAnsiTheme="minorEastAsia" w:cs="宋体" w:hint="eastAsia"/>
          <w:color w:val="000000"/>
        </w:rPr>
        <w:t>[2017]000118号《验资报告》验证确认。</w:t>
      </w:r>
    </w:p>
    <w:p w:rsidR="00C8198D" w:rsidRPr="00077234" w:rsidRDefault="00C8198D" w:rsidP="0048540F">
      <w:pPr>
        <w:wordWrap w:val="0"/>
        <w:spacing w:line="360" w:lineRule="auto"/>
        <w:ind w:firstLine="480"/>
        <w:jc w:val="left"/>
        <w:rPr>
          <w:rFonts w:asciiTheme="minorEastAsia" w:eastAsiaTheme="minorEastAsia" w:hAnsiTheme="minorEastAsia"/>
          <w:b/>
          <w:sz w:val="24"/>
        </w:rPr>
      </w:pPr>
      <w:r w:rsidRPr="00077234">
        <w:rPr>
          <w:rFonts w:asciiTheme="minorEastAsia" w:eastAsiaTheme="minorEastAsia" w:hAnsiTheme="minorEastAsia" w:hint="eastAsia"/>
          <w:b/>
          <w:sz w:val="24"/>
        </w:rPr>
        <w:t>二、募集资金管理情况</w:t>
      </w:r>
    </w:p>
    <w:p w:rsidR="00141BBA" w:rsidRPr="00077234" w:rsidRDefault="00141BBA" w:rsidP="0048540F">
      <w:pPr>
        <w:wordWrap w:val="0"/>
        <w:autoSpaceDE w:val="0"/>
        <w:autoSpaceDN w:val="0"/>
        <w:adjustRightInd w:val="0"/>
        <w:spacing w:line="360" w:lineRule="auto"/>
        <w:ind w:firstLine="482"/>
        <w:jc w:val="left"/>
        <w:rPr>
          <w:rFonts w:asciiTheme="minorEastAsia" w:eastAsiaTheme="minorEastAsia" w:hAnsiTheme="minorEastAsia" w:cs="宋体"/>
          <w:color w:val="000000"/>
          <w:kern w:val="0"/>
          <w:sz w:val="24"/>
        </w:rPr>
      </w:pPr>
      <w:r w:rsidRPr="00077234">
        <w:rPr>
          <w:rFonts w:asciiTheme="minorEastAsia" w:eastAsiaTheme="minorEastAsia" w:hAnsiTheme="minorEastAsia" w:cs="宋体" w:hint="eastAsia"/>
          <w:color w:val="000000"/>
          <w:kern w:val="0"/>
          <w:sz w:val="24"/>
        </w:rPr>
        <w:t>为规范募集资金的管理和使用，保护投资者的利益，根据《深圳证券交易所股票上市规则》、《深圳证券交易所中小企业板上市公司规范运作指引（</w:t>
      </w:r>
      <w:r w:rsidRPr="00077234">
        <w:rPr>
          <w:rFonts w:asciiTheme="minorEastAsia" w:eastAsiaTheme="minorEastAsia" w:hAnsiTheme="minorEastAsia" w:cs="宋体"/>
          <w:color w:val="000000"/>
          <w:kern w:val="0"/>
          <w:sz w:val="24"/>
        </w:rPr>
        <w:t>2015</w:t>
      </w:r>
      <w:r w:rsidR="00077234">
        <w:rPr>
          <w:rFonts w:asciiTheme="minorEastAsia" w:eastAsiaTheme="minorEastAsia" w:hAnsiTheme="minorEastAsia" w:cs="宋体" w:hint="eastAsia"/>
          <w:color w:val="000000"/>
          <w:kern w:val="0"/>
          <w:sz w:val="24"/>
        </w:rPr>
        <w:t>年修订）》和公司《募集资金管理办法》等相关法律</w:t>
      </w:r>
      <w:r w:rsidRPr="00077234">
        <w:rPr>
          <w:rFonts w:asciiTheme="minorEastAsia" w:eastAsiaTheme="minorEastAsia" w:hAnsiTheme="minorEastAsia" w:cs="宋体" w:hint="eastAsia"/>
          <w:color w:val="000000"/>
          <w:kern w:val="0"/>
          <w:sz w:val="24"/>
        </w:rPr>
        <w:t>法规和规范性文件要求，公司设立了募集资金专项账户，并已与保荐机构华泰联合证券有限责任公司（以下简称“华泰联合”）及募集资金专项账户银行签署了《募集资金三方监管协议》，详情如下：</w:t>
      </w:r>
    </w:p>
    <w:tbl>
      <w:tblPr>
        <w:tblStyle w:val="a6"/>
        <w:tblW w:w="0" w:type="auto"/>
        <w:tblLayout w:type="fixed"/>
        <w:tblLook w:val="04A0" w:firstRow="1" w:lastRow="0" w:firstColumn="1" w:lastColumn="0" w:noHBand="0" w:noVBand="1"/>
      </w:tblPr>
      <w:tblGrid>
        <w:gridCol w:w="1384"/>
        <w:gridCol w:w="1985"/>
        <w:gridCol w:w="1885"/>
        <w:gridCol w:w="1541"/>
        <w:gridCol w:w="1727"/>
      </w:tblGrid>
      <w:tr w:rsidR="00141BBA" w:rsidRPr="0048540F" w:rsidTr="0048540F">
        <w:trPr>
          <w:trHeight w:val="634"/>
        </w:trPr>
        <w:tc>
          <w:tcPr>
            <w:tcW w:w="1384" w:type="dxa"/>
            <w:vAlign w:val="center"/>
          </w:tcPr>
          <w:p w:rsidR="00141BBA" w:rsidRPr="0048540F" w:rsidRDefault="00141BBA" w:rsidP="0048540F">
            <w:pPr>
              <w:autoSpaceDE w:val="0"/>
              <w:autoSpaceDN w:val="0"/>
              <w:adjustRightInd w:val="0"/>
              <w:jc w:val="center"/>
              <w:rPr>
                <w:rFonts w:asciiTheme="minorEastAsia" w:eastAsiaTheme="minorEastAsia" w:hAnsiTheme="minorEastAsia" w:cs="黑体"/>
                <w:b/>
                <w:color w:val="000000"/>
                <w:kern w:val="0"/>
                <w:szCs w:val="21"/>
              </w:rPr>
            </w:pPr>
            <w:r w:rsidRPr="0048540F">
              <w:rPr>
                <w:rFonts w:asciiTheme="minorEastAsia" w:eastAsiaTheme="minorEastAsia" w:hAnsiTheme="minorEastAsia" w:cs="黑体" w:hint="eastAsia"/>
                <w:b/>
                <w:color w:val="000000"/>
                <w:kern w:val="0"/>
                <w:szCs w:val="21"/>
              </w:rPr>
              <w:t>账户名称</w:t>
            </w:r>
          </w:p>
        </w:tc>
        <w:tc>
          <w:tcPr>
            <w:tcW w:w="1985" w:type="dxa"/>
            <w:vAlign w:val="center"/>
          </w:tcPr>
          <w:p w:rsidR="00141BBA" w:rsidRPr="0048540F" w:rsidRDefault="00141BBA" w:rsidP="0048540F">
            <w:pPr>
              <w:autoSpaceDE w:val="0"/>
              <w:autoSpaceDN w:val="0"/>
              <w:adjustRightInd w:val="0"/>
              <w:jc w:val="center"/>
              <w:rPr>
                <w:rFonts w:asciiTheme="majorEastAsia" w:eastAsiaTheme="majorEastAsia" w:hAnsiTheme="majorEastAsia" w:cs="黑体"/>
                <w:b/>
                <w:color w:val="000000"/>
                <w:kern w:val="0"/>
                <w:szCs w:val="21"/>
              </w:rPr>
            </w:pPr>
            <w:r w:rsidRPr="0048540F">
              <w:rPr>
                <w:rFonts w:asciiTheme="majorEastAsia" w:eastAsiaTheme="majorEastAsia" w:hAnsiTheme="majorEastAsia" w:cs="黑体" w:hint="eastAsia"/>
                <w:b/>
                <w:color w:val="000000"/>
                <w:kern w:val="0"/>
                <w:szCs w:val="21"/>
              </w:rPr>
              <w:t>银行名称</w:t>
            </w:r>
          </w:p>
        </w:tc>
        <w:tc>
          <w:tcPr>
            <w:tcW w:w="1885" w:type="dxa"/>
            <w:vAlign w:val="center"/>
          </w:tcPr>
          <w:p w:rsidR="00141BBA" w:rsidRPr="0048540F" w:rsidRDefault="00141BBA" w:rsidP="0048540F">
            <w:pPr>
              <w:autoSpaceDE w:val="0"/>
              <w:autoSpaceDN w:val="0"/>
              <w:adjustRightInd w:val="0"/>
              <w:jc w:val="center"/>
              <w:rPr>
                <w:rFonts w:asciiTheme="majorEastAsia" w:eastAsiaTheme="majorEastAsia" w:hAnsiTheme="majorEastAsia" w:cs="黑体"/>
                <w:b/>
                <w:color w:val="000000"/>
                <w:kern w:val="0"/>
                <w:szCs w:val="21"/>
              </w:rPr>
            </w:pPr>
            <w:r w:rsidRPr="0048540F">
              <w:rPr>
                <w:rFonts w:asciiTheme="majorEastAsia" w:eastAsiaTheme="majorEastAsia" w:hAnsiTheme="majorEastAsia" w:cs="黑体" w:hint="eastAsia"/>
                <w:b/>
                <w:color w:val="000000"/>
                <w:kern w:val="0"/>
                <w:szCs w:val="21"/>
              </w:rPr>
              <w:t>银行账号</w:t>
            </w:r>
          </w:p>
        </w:tc>
        <w:tc>
          <w:tcPr>
            <w:tcW w:w="1541" w:type="dxa"/>
            <w:vAlign w:val="center"/>
          </w:tcPr>
          <w:p w:rsidR="00141BBA" w:rsidRPr="0048540F" w:rsidRDefault="00141BBA" w:rsidP="0048540F">
            <w:pPr>
              <w:autoSpaceDE w:val="0"/>
              <w:autoSpaceDN w:val="0"/>
              <w:adjustRightInd w:val="0"/>
              <w:jc w:val="center"/>
              <w:rPr>
                <w:rFonts w:asciiTheme="majorEastAsia" w:eastAsiaTheme="majorEastAsia" w:hAnsiTheme="majorEastAsia" w:cs="黑体"/>
                <w:b/>
                <w:color w:val="000000"/>
                <w:kern w:val="0"/>
                <w:szCs w:val="21"/>
              </w:rPr>
            </w:pPr>
            <w:r w:rsidRPr="0048540F">
              <w:rPr>
                <w:rFonts w:asciiTheme="majorEastAsia" w:eastAsiaTheme="majorEastAsia" w:hAnsiTheme="majorEastAsia" w:cs="黑体" w:hint="eastAsia"/>
                <w:b/>
                <w:color w:val="000000"/>
                <w:kern w:val="0"/>
                <w:szCs w:val="21"/>
              </w:rPr>
              <w:t>募集资金项目</w:t>
            </w:r>
          </w:p>
        </w:tc>
        <w:tc>
          <w:tcPr>
            <w:tcW w:w="1727" w:type="dxa"/>
            <w:vAlign w:val="center"/>
          </w:tcPr>
          <w:p w:rsidR="00141BBA" w:rsidRPr="0048540F" w:rsidRDefault="00141BBA" w:rsidP="0048540F">
            <w:pPr>
              <w:autoSpaceDE w:val="0"/>
              <w:autoSpaceDN w:val="0"/>
              <w:adjustRightInd w:val="0"/>
              <w:jc w:val="center"/>
              <w:rPr>
                <w:rFonts w:asciiTheme="majorEastAsia" w:eastAsiaTheme="majorEastAsia" w:hAnsiTheme="majorEastAsia" w:cs="黑体"/>
                <w:b/>
                <w:color w:val="000000"/>
                <w:kern w:val="0"/>
                <w:szCs w:val="21"/>
              </w:rPr>
            </w:pPr>
            <w:r w:rsidRPr="0048540F">
              <w:rPr>
                <w:rFonts w:asciiTheme="majorEastAsia" w:eastAsiaTheme="majorEastAsia" w:hAnsiTheme="majorEastAsia" w:cs="黑体" w:hint="eastAsia"/>
                <w:b/>
                <w:color w:val="000000"/>
                <w:kern w:val="0"/>
                <w:szCs w:val="21"/>
              </w:rPr>
              <w:t>资金总额（万元）</w:t>
            </w:r>
          </w:p>
        </w:tc>
      </w:tr>
      <w:tr w:rsidR="00141BBA" w:rsidRPr="00141BBA" w:rsidTr="0048540F">
        <w:trPr>
          <w:trHeight w:val="619"/>
        </w:trPr>
        <w:tc>
          <w:tcPr>
            <w:tcW w:w="1384" w:type="dxa"/>
            <w:vAlign w:val="center"/>
          </w:tcPr>
          <w:p w:rsidR="00141BBA" w:rsidRPr="00141BBA" w:rsidRDefault="00141BBA" w:rsidP="00141BBA">
            <w:pPr>
              <w:autoSpaceDE w:val="0"/>
              <w:autoSpaceDN w:val="0"/>
              <w:adjustRightInd w:val="0"/>
              <w:rPr>
                <w:rFonts w:asciiTheme="minorEastAsia" w:eastAsiaTheme="minorEastAsia" w:hAnsiTheme="minorEastAsia" w:cs="黑体"/>
                <w:color w:val="000000"/>
                <w:kern w:val="0"/>
                <w:sz w:val="24"/>
              </w:rPr>
            </w:pPr>
            <w:r w:rsidRPr="00141BBA">
              <w:rPr>
                <w:rFonts w:asciiTheme="minorEastAsia" w:eastAsiaTheme="minorEastAsia" w:hAnsiTheme="minorEastAsia" w:cs="黑体" w:hint="eastAsia"/>
                <w:color w:val="000000"/>
                <w:kern w:val="0"/>
                <w:sz w:val="24"/>
              </w:rPr>
              <w:t>阿克苏华孚色纺有限公司</w:t>
            </w:r>
          </w:p>
        </w:tc>
        <w:tc>
          <w:tcPr>
            <w:tcW w:w="1985" w:type="dxa"/>
            <w:vAlign w:val="center"/>
          </w:tcPr>
          <w:p w:rsidR="00141BBA" w:rsidRPr="00141BBA" w:rsidRDefault="00141BBA" w:rsidP="00141BBA">
            <w:pPr>
              <w:autoSpaceDE w:val="0"/>
              <w:autoSpaceDN w:val="0"/>
              <w:adjustRightInd w:val="0"/>
              <w:rPr>
                <w:rFonts w:asciiTheme="majorEastAsia" w:eastAsiaTheme="majorEastAsia" w:hAnsiTheme="majorEastAsia" w:cs="黑体"/>
                <w:color w:val="000000"/>
                <w:kern w:val="0"/>
                <w:szCs w:val="21"/>
              </w:rPr>
            </w:pPr>
            <w:r w:rsidRPr="00141BBA">
              <w:rPr>
                <w:rFonts w:asciiTheme="majorEastAsia" w:eastAsiaTheme="majorEastAsia" w:hAnsiTheme="majorEastAsia" w:cs="黑体" w:hint="eastAsia"/>
                <w:color w:val="000000"/>
                <w:kern w:val="0"/>
                <w:szCs w:val="21"/>
              </w:rPr>
              <w:t>中国农业银行股份有限公司乌鲁木齐友好路支行</w:t>
            </w:r>
          </w:p>
        </w:tc>
        <w:tc>
          <w:tcPr>
            <w:tcW w:w="1885" w:type="dxa"/>
            <w:vAlign w:val="center"/>
          </w:tcPr>
          <w:p w:rsidR="00141BBA" w:rsidRPr="00141BBA" w:rsidRDefault="00141BBA" w:rsidP="00141BBA">
            <w:pPr>
              <w:autoSpaceDE w:val="0"/>
              <w:autoSpaceDN w:val="0"/>
              <w:adjustRightInd w:val="0"/>
              <w:rPr>
                <w:rFonts w:asciiTheme="majorEastAsia" w:eastAsiaTheme="majorEastAsia" w:hAnsiTheme="majorEastAsia" w:cs="黑体"/>
                <w:color w:val="000000"/>
                <w:kern w:val="0"/>
                <w:szCs w:val="21"/>
              </w:rPr>
            </w:pPr>
            <w:r w:rsidRPr="00141BBA">
              <w:rPr>
                <w:rFonts w:asciiTheme="majorEastAsia" w:eastAsiaTheme="majorEastAsia" w:hAnsiTheme="majorEastAsia" w:cs="黑体"/>
                <w:color w:val="000000"/>
                <w:kern w:val="0"/>
                <w:szCs w:val="21"/>
              </w:rPr>
              <w:t>30004401040012698</w:t>
            </w:r>
          </w:p>
        </w:tc>
        <w:tc>
          <w:tcPr>
            <w:tcW w:w="1541" w:type="dxa"/>
            <w:vAlign w:val="center"/>
          </w:tcPr>
          <w:p w:rsidR="00141BBA" w:rsidRPr="00141BBA" w:rsidRDefault="00141BBA" w:rsidP="00141BBA">
            <w:pPr>
              <w:autoSpaceDE w:val="0"/>
              <w:autoSpaceDN w:val="0"/>
              <w:adjustRightInd w:val="0"/>
              <w:rPr>
                <w:rFonts w:asciiTheme="majorEastAsia" w:eastAsiaTheme="majorEastAsia" w:hAnsiTheme="majorEastAsia" w:cs="黑体"/>
                <w:color w:val="000000"/>
                <w:kern w:val="0"/>
                <w:szCs w:val="21"/>
              </w:rPr>
            </w:pPr>
            <w:r w:rsidRPr="00141BBA">
              <w:rPr>
                <w:rFonts w:asciiTheme="majorEastAsia" w:eastAsiaTheme="majorEastAsia" w:hAnsiTheme="majorEastAsia" w:cs="黑体" w:hint="eastAsia"/>
                <w:color w:val="000000"/>
                <w:kern w:val="0"/>
                <w:szCs w:val="21"/>
              </w:rPr>
              <w:t>阿克苏16万锭</w:t>
            </w:r>
            <w:proofErr w:type="gramStart"/>
            <w:r w:rsidRPr="00141BBA">
              <w:rPr>
                <w:rFonts w:asciiTheme="majorEastAsia" w:eastAsiaTheme="majorEastAsia" w:hAnsiTheme="majorEastAsia" w:cs="黑体" w:hint="eastAsia"/>
                <w:color w:val="000000"/>
                <w:kern w:val="0"/>
                <w:szCs w:val="21"/>
              </w:rPr>
              <w:t>高档色</w:t>
            </w:r>
            <w:proofErr w:type="gramEnd"/>
            <w:r w:rsidRPr="00141BBA">
              <w:rPr>
                <w:rFonts w:asciiTheme="majorEastAsia" w:eastAsiaTheme="majorEastAsia" w:hAnsiTheme="majorEastAsia" w:cs="黑体" w:hint="eastAsia"/>
                <w:color w:val="000000"/>
                <w:kern w:val="0"/>
                <w:szCs w:val="21"/>
              </w:rPr>
              <w:t>纺纱项目</w:t>
            </w:r>
          </w:p>
        </w:tc>
        <w:tc>
          <w:tcPr>
            <w:tcW w:w="1727"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1336"/>
            </w:tblGrid>
            <w:tr w:rsidR="00141BBA" w:rsidRPr="00141BBA" w:rsidTr="0048540F">
              <w:trPr>
                <w:trHeight w:val="99"/>
              </w:trPr>
              <w:tc>
                <w:tcPr>
                  <w:tcW w:w="1336" w:type="dxa"/>
                </w:tcPr>
                <w:p w:rsidR="00141BBA" w:rsidRPr="00141BBA" w:rsidRDefault="00141BBA" w:rsidP="00141BBA">
                  <w:pPr>
                    <w:autoSpaceDE w:val="0"/>
                    <w:autoSpaceDN w:val="0"/>
                    <w:adjustRightInd w:val="0"/>
                    <w:jc w:val="center"/>
                    <w:rPr>
                      <w:rFonts w:asciiTheme="majorEastAsia" w:eastAsiaTheme="majorEastAsia" w:hAnsiTheme="majorEastAsia" w:cs="黑体"/>
                      <w:color w:val="000000"/>
                      <w:kern w:val="0"/>
                      <w:szCs w:val="21"/>
                    </w:rPr>
                  </w:pPr>
                  <w:r w:rsidRPr="00141BBA">
                    <w:rPr>
                      <w:rFonts w:asciiTheme="majorEastAsia" w:eastAsiaTheme="majorEastAsia" w:hAnsiTheme="majorEastAsia" w:cs="黑体"/>
                      <w:color w:val="000000"/>
                      <w:kern w:val="0"/>
                      <w:szCs w:val="21"/>
                    </w:rPr>
                    <w:t>89,600.00</w:t>
                  </w:r>
                </w:p>
              </w:tc>
            </w:tr>
          </w:tbl>
          <w:p w:rsidR="00141BBA" w:rsidRPr="00141BBA" w:rsidRDefault="00141BBA" w:rsidP="00141BBA">
            <w:pPr>
              <w:autoSpaceDE w:val="0"/>
              <w:autoSpaceDN w:val="0"/>
              <w:adjustRightInd w:val="0"/>
              <w:jc w:val="center"/>
              <w:rPr>
                <w:rFonts w:asciiTheme="majorEastAsia" w:eastAsiaTheme="majorEastAsia" w:hAnsiTheme="majorEastAsia" w:cs="黑体"/>
                <w:color w:val="000000"/>
                <w:kern w:val="0"/>
                <w:szCs w:val="21"/>
              </w:rPr>
            </w:pPr>
          </w:p>
        </w:tc>
      </w:tr>
      <w:tr w:rsidR="00141BBA" w:rsidRPr="00141BBA" w:rsidTr="0048540F">
        <w:trPr>
          <w:trHeight w:val="619"/>
        </w:trPr>
        <w:tc>
          <w:tcPr>
            <w:tcW w:w="1384" w:type="dxa"/>
            <w:vAlign w:val="center"/>
          </w:tcPr>
          <w:p w:rsidR="00141BBA" w:rsidRPr="00141BBA" w:rsidRDefault="00141BBA" w:rsidP="00141BBA">
            <w:pPr>
              <w:autoSpaceDE w:val="0"/>
              <w:autoSpaceDN w:val="0"/>
              <w:adjustRightInd w:val="0"/>
              <w:rPr>
                <w:rFonts w:asciiTheme="minorEastAsia" w:eastAsiaTheme="minorEastAsia" w:hAnsiTheme="minorEastAsia" w:cs="黑体"/>
                <w:color w:val="000000"/>
                <w:kern w:val="0"/>
                <w:sz w:val="24"/>
              </w:rPr>
            </w:pPr>
            <w:r w:rsidRPr="00141BBA">
              <w:rPr>
                <w:rFonts w:asciiTheme="minorEastAsia" w:eastAsiaTheme="minorEastAsia" w:hAnsiTheme="minorEastAsia" w:cs="黑体" w:hint="eastAsia"/>
                <w:color w:val="000000"/>
                <w:kern w:val="0"/>
                <w:sz w:val="24"/>
              </w:rPr>
              <w:t>华孚色纺股份有限公司</w:t>
            </w:r>
          </w:p>
        </w:tc>
        <w:tc>
          <w:tcPr>
            <w:tcW w:w="1985" w:type="dxa"/>
            <w:vAlign w:val="center"/>
          </w:tcPr>
          <w:p w:rsidR="00141BBA" w:rsidRPr="00141BBA" w:rsidRDefault="00141BBA" w:rsidP="00141BBA">
            <w:pPr>
              <w:autoSpaceDE w:val="0"/>
              <w:autoSpaceDN w:val="0"/>
              <w:adjustRightInd w:val="0"/>
              <w:rPr>
                <w:rFonts w:asciiTheme="majorEastAsia" w:eastAsiaTheme="majorEastAsia" w:hAnsiTheme="majorEastAsia" w:cs="黑体"/>
                <w:color w:val="000000"/>
                <w:kern w:val="0"/>
                <w:szCs w:val="21"/>
              </w:rPr>
            </w:pPr>
            <w:r w:rsidRPr="00141BBA">
              <w:rPr>
                <w:rFonts w:asciiTheme="majorEastAsia" w:eastAsiaTheme="majorEastAsia" w:hAnsiTheme="majorEastAsia" w:cs="黑体" w:hint="eastAsia"/>
                <w:color w:val="000000"/>
                <w:kern w:val="0"/>
                <w:szCs w:val="21"/>
              </w:rPr>
              <w:t>中国建设银行股份有限公司深圳罗湖支行</w:t>
            </w:r>
          </w:p>
        </w:tc>
        <w:tc>
          <w:tcPr>
            <w:tcW w:w="1885" w:type="dxa"/>
            <w:vAlign w:val="center"/>
          </w:tcPr>
          <w:p w:rsidR="00141BBA" w:rsidRPr="00141BBA" w:rsidRDefault="00141BBA" w:rsidP="00141BBA">
            <w:pPr>
              <w:autoSpaceDE w:val="0"/>
              <w:autoSpaceDN w:val="0"/>
              <w:adjustRightInd w:val="0"/>
              <w:rPr>
                <w:rFonts w:asciiTheme="majorEastAsia" w:eastAsiaTheme="majorEastAsia" w:hAnsiTheme="majorEastAsia" w:cs="黑体"/>
                <w:color w:val="000000"/>
                <w:kern w:val="0"/>
                <w:szCs w:val="21"/>
              </w:rPr>
            </w:pPr>
            <w:r w:rsidRPr="00141BBA">
              <w:rPr>
                <w:rFonts w:asciiTheme="majorEastAsia" w:eastAsiaTheme="majorEastAsia" w:hAnsiTheme="majorEastAsia" w:cs="黑体"/>
                <w:color w:val="000000"/>
                <w:kern w:val="0"/>
                <w:szCs w:val="21"/>
              </w:rPr>
              <w:t>44250100002800000781</w:t>
            </w:r>
          </w:p>
        </w:tc>
        <w:tc>
          <w:tcPr>
            <w:tcW w:w="1541" w:type="dxa"/>
            <w:vAlign w:val="center"/>
          </w:tcPr>
          <w:p w:rsidR="00141BBA" w:rsidRPr="00141BBA" w:rsidRDefault="00141BBA" w:rsidP="00141BBA">
            <w:pPr>
              <w:autoSpaceDE w:val="0"/>
              <w:autoSpaceDN w:val="0"/>
              <w:adjustRightInd w:val="0"/>
              <w:rPr>
                <w:rFonts w:asciiTheme="majorEastAsia" w:eastAsiaTheme="majorEastAsia" w:hAnsiTheme="majorEastAsia" w:cs="黑体"/>
                <w:color w:val="000000"/>
                <w:kern w:val="0"/>
                <w:szCs w:val="21"/>
              </w:rPr>
            </w:pPr>
            <w:r w:rsidRPr="00141BBA">
              <w:rPr>
                <w:rFonts w:asciiTheme="majorEastAsia" w:eastAsiaTheme="majorEastAsia" w:hAnsiTheme="majorEastAsia" w:cs="黑体" w:hint="eastAsia"/>
                <w:color w:val="000000"/>
                <w:kern w:val="0"/>
                <w:szCs w:val="21"/>
              </w:rPr>
              <w:t>华孚（越南）16万锭</w:t>
            </w:r>
            <w:proofErr w:type="gramStart"/>
            <w:r w:rsidRPr="00141BBA">
              <w:rPr>
                <w:rFonts w:asciiTheme="majorEastAsia" w:eastAsiaTheme="majorEastAsia" w:hAnsiTheme="majorEastAsia" w:cs="黑体" w:hint="eastAsia"/>
                <w:color w:val="000000"/>
                <w:kern w:val="0"/>
                <w:szCs w:val="21"/>
              </w:rPr>
              <w:t>高档色</w:t>
            </w:r>
            <w:proofErr w:type="gramEnd"/>
            <w:r w:rsidRPr="00141BBA">
              <w:rPr>
                <w:rFonts w:asciiTheme="majorEastAsia" w:eastAsiaTheme="majorEastAsia" w:hAnsiTheme="majorEastAsia" w:cs="黑体" w:hint="eastAsia"/>
                <w:color w:val="000000"/>
                <w:kern w:val="0"/>
                <w:szCs w:val="21"/>
              </w:rPr>
              <w:t>纺纱项目</w:t>
            </w:r>
          </w:p>
        </w:tc>
        <w:tc>
          <w:tcPr>
            <w:tcW w:w="1727" w:type="dxa"/>
            <w:vAlign w:val="center"/>
          </w:tcPr>
          <w:p w:rsidR="00141BBA" w:rsidRPr="00141BBA" w:rsidRDefault="00141BBA" w:rsidP="0048540F">
            <w:pPr>
              <w:autoSpaceDE w:val="0"/>
              <w:autoSpaceDN w:val="0"/>
              <w:adjustRightInd w:val="0"/>
              <w:ind w:firstLineChars="100" w:firstLine="210"/>
              <w:rPr>
                <w:rFonts w:asciiTheme="majorEastAsia" w:eastAsiaTheme="majorEastAsia" w:hAnsiTheme="majorEastAsia" w:cs="黑体"/>
                <w:color w:val="000000"/>
                <w:kern w:val="0"/>
                <w:szCs w:val="21"/>
              </w:rPr>
            </w:pPr>
            <w:r w:rsidRPr="00141BBA">
              <w:rPr>
                <w:rFonts w:asciiTheme="majorEastAsia" w:eastAsiaTheme="majorEastAsia" w:hAnsiTheme="majorEastAsia" w:cs="黑体"/>
                <w:color w:val="000000"/>
                <w:kern w:val="0"/>
                <w:szCs w:val="21"/>
              </w:rPr>
              <w:t>88,400.00</w:t>
            </w:r>
          </w:p>
        </w:tc>
      </w:tr>
      <w:tr w:rsidR="00141BBA" w:rsidRPr="00141BBA" w:rsidTr="0048540F">
        <w:trPr>
          <w:trHeight w:val="1138"/>
        </w:trPr>
        <w:tc>
          <w:tcPr>
            <w:tcW w:w="1384" w:type="dxa"/>
            <w:vAlign w:val="center"/>
          </w:tcPr>
          <w:p w:rsidR="00141BBA" w:rsidRPr="00141BBA" w:rsidRDefault="00141BBA" w:rsidP="00141BBA">
            <w:pPr>
              <w:autoSpaceDE w:val="0"/>
              <w:autoSpaceDN w:val="0"/>
              <w:adjustRightInd w:val="0"/>
              <w:rPr>
                <w:rFonts w:asciiTheme="minorEastAsia" w:eastAsiaTheme="minorEastAsia" w:hAnsiTheme="minorEastAsia" w:cs="黑体"/>
                <w:color w:val="000000"/>
                <w:kern w:val="0"/>
                <w:sz w:val="24"/>
              </w:rPr>
            </w:pPr>
            <w:r w:rsidRPr="00141BBA">
              <w:rPr>
                <w:rFonts w:asciiTheme="minorEastAsia" w:eastAsiaTheme="minorEastAsia" w:hAnsiTheme="minorEastAsia" w:cs="黑体" w:hint="eastAsia"/>
                <w:color w:val="000000"/>
                <w:kern w:val="0"/>
                <w:sz w:val="24"/>
              </w:rPr>
              <w:lastRenderedPageBreak/>
              <w:t>华孚色纺股份有限公司</w:t>
            </w:r>
          </w:p>
        </w:tc>
        <w:tc>
          <w:tcPr>
            <w:tcW w:w="1985" w:type="dxa"/>
            <w:vAlign w:val="center"/>
          </w:tcPr>
          <w:p w:rsidR="00141BBA" w:rsidRPr="00141BBA" w:rsidRDefault="00141BBA" w:rsidP="00141BBA">
            <w:pPr>
              <w:autoSpaceDE w:val="0"/>
              <w:autoSpaceDN w:val="0"/>
              <w:adjustRightInd w:val="0"/>
              <w:rPr>
                <w:rFonts w:asciiTheme="majorEastAsia" w:eastAsiaTheme="majorEastAsia" w:hAnsiTheme="majorEastAsia" w:cs="黑体"/>
                <w:color w:val="000000"/>
                <w:kern w:val="0"/>
                <w:szCs w:val="21"/>
              </w:rPr>
            </w:pPr>
            <w:proofErr w:type="gramStart"/>
            <w:r w:rsidRPr="00141BBA">
              <w:rPr>
                <w:rFonts w:asciiTheme="majorEastAsia" w:eastAsiaTheme="majorEastAsia" w:hAnsiTheme="majorEastAsia" w:cs="黑体" w:hint="eastAsia"/>
                <w:color w:val="000000"/>
                <w:kern w:val="0"/>
                <w:szCs w:val="21"/>
              </w:rPr>
              <w:t>浙商银行</w:t>
            </w:r>
            <w:proofErr w:type="gramEnd"/>
            <w:r w:rsidRPr="00141BBA">
              <w:rPr>
                <w:rFonts w:asciiTheme="majorEastAsia" w:eastAsiaTheme="majorEastAsia" w:hAnsiTheme="majorEastAsia" w:cs="黑体" w:hint="eastAsia"/>
                <w:color w:val="000000"/>
                <w:kern w:val="0"/>
                <w:szCs w:val="21"/>
              </w:rPr>
              <w:t>股份有限公司绍兴上虞支行</w:t>
            </w:r>
          </w:p>
        </w:tc>
        <w:tc>
          <w:tcPr>
            <w:tcW w:w="1885" w:type="dxa"/>
            <w:vAlign w:val="center"/>
          </w:tcPr>
          <w:p w:rsidR="00141BBA" w:rsidRPr="00141BBA" w:rsidRDefault="00141BBA" w:rsidP="00141BBA">
            <w:pPr>
              <w:autoSpaceDE w:val="0"/>
              <w:autoSpaceDN w:val="0"/>
              <w:adjustRightInd w:val="0"/>
              <w:rPr>
                <w:rFonts w:asciiTheme="majorEastAsia" w:eastAsiaTheme="majorEastAsia" w:hAnsiTheme="majorEastAsia" w:cs="黑体"/>
                <w:color w:val="000000"/>
                <w:kern w:val="0"/>
                <w:szCs w:val="21"/>
              </w:rPr>
            </w:pPr>
            <w:r w:rsidRPr="00141BBA">
              <w:rPr>
                <w:rFonts w:asciiTheme="majorEastAsia" w:eastAsiaTheme="majorEastAsia" w:hAnsiTheme="majorEastAsia" w:cs="黑体" w:hint="eastAsia"/>
                <w:color w:val="000000"/>
                <w:kern w:val="0"/>
                <w:szCs w:val="21"/>
              </w:rPr>
              <w:t>3371020210120100087045</w:t>
            </w:r>
          </w:p>
        </w:tc>
        <w:tc>
          <w:tcPr>
            <w:tcW w:w="1541" w:type="dxa"/>
            <w:vAlign w:val="center"/>
          </w:tcPr>
          <w:p w:rsidR="00141BBA" w:rsidRPr="00141BBA" w:rsidRDefault="00141BBA" w:rsidP="00141BBA">
            <w:pPr>
              <w:autoSpaceDE w:val="0"/>
              <w:autoSpaceDN w:val="0"/>
              <w:adjustRightInd w:val="0"/>
              <w:rPr>
                <w:rFonts w:asciiTheme="majorEastAsia" w:eastAsiaTheme="majorEastAsia" w:hAnsiTheme="majorEastAsia" w:cs="黑体"/>
                <w:color w:val="000000"/>
                <w:kern w:val="0"/>
                <w:szCs w:val="21"/>
              </w:rPr>
            </w:pPr>
            <w:r w:rsidRPr="00141BBA">
              <w:rPr>
                <w:rFonts w:asciiTheme="majorEastAsia" w:eastAsiaTheme="majorEastAsia" w:hAnsiTheme="majorEastAsia" w:cs="黑体" w:hint="eastAsia"/>
                <w:color w:val="000000"/>
                <w:kern w:val="0"/>
                <w:szCs w:val="21"/>
              </w:rPr>
              <w:t>补充流动资金</w:t>
            </w:r>
          </w:p>
        </w:tc>
        <w:tc>
          <w:tcPr>
            <w:tcW w:w="1727" w:type="dxa"/>
            <w:vAlign w:val="center"/>
          </w:tcPr>
          <w:p w:rsidR="00141BBA" w:rsidRPr="00141BBA" w:rsidRDefault="00141BBA" w:rsidP="00141BBA">
            <w:pPr>
              <w:autoSpaceDE w:val="0"/>
              <w:autoSpaceDN w:val="0"/>
              <w:adjustRightInd w:val="0"/>
              <w:jc w:val="center"/>
              <w:rPr>
                <w:rFonts w:asciiTheme="majorEastAsia" w:eastAsiaTheme="majorEastAsia" w:hAnsiTheme="majorEastAsia" w:cs="黑体"/>
                <w:color w:val="000000"/>
                <w:kern w:val="0"/>
                <w:szCs w:val="21"/>
              </w:rPr>
            </w:pPr>
            <w:r w:rsidRPr="00141BBA">
              <w:rPr>
                <w:rFonts w:asciiTheme="majorEastAsia" w:eastAsiaTheme="majorEastAsia" w:hAnsiTheme="majorEastAsia" w:cs="黑体"/>
                <w:color w:val="000000"/>
                <w:kern w:val="0"/>
                <w:szCs w:val="21"/>
              </w:rPr>
              <w:t>40</w:t>
            </w:r>
            <w:r w:rsidRPr="00141BBA">
              <w:rPr>
                <w:rFonts w:asciiTheme="majorEastAsia" w:eastAsiaTheme="majorEastAsia" w:hAnsiTheme="majorEastAsia" w:cs="黑体" w:hint="eastAsia"/>
                <w:color w:val="000000"/>
                <w:kern w:val="0"/>
                <w:szCs w:val="21"/>
              </w:rPr>
              <w:t>,</w:t>
            </w:r>
            <w:r w:rsidRPr="00141BBA">
              <w:rPr>
                <w:rFonts w:asciiTheme="majorEastAsia" w:eastAsiaTheme="majorEastAsia" w:hAnsiTheme="majorEastAsia" w:cs="黑体"/>
                <w:color w:val="000000"/>
                <w:kern w:val="0"/>
                <w:szCs w:val="21"/>
              </w:rPr>
              <w:t>011.6</w:t>
            </w:r>
            <w:r w:rsidRPr="00141BBA">
              <w:rPr>
                <w:rFonts w:asciiTheme="majorEastAsia" w:eastAsiaTheme="majorEastAsia" w:hAnsiTheme="majorEastAsia" w:cs="黑体" w:hint="eastAsia"/>
                <w:color w:val="000000"/>
                <w:kern w:val="0"/>
                <w:szCs w:val="21"/>
              </w:rPr>
              <w:t>6</w:t>
            </w:r>
          </w:p>
        </w:tc>
      </w:tr>
    </w:tbl>
    <w:p w:rsidR="00141BBA" w:rsidRPr="00077234" w:rsidRDefault="00141BBA"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以上内容详见公司于2017年3月24日刊登在《证券时报》、《中国证券报》及巨潮资讯网http://www.cninfo.com.cn上的《关于设立非公开发行股票募集资金专户并签订募集资金三方监管协议的公告》。</w:t>
      </w:r>
    </w:p>
    <w:p w:rsidR="00B05F3C" w:rsidRPr="00077234" w:rsidRDefault="00B05F3C" w:rsidP="0048540F">
      <w:pPr>
        <w:spacing w:line="360" w:lineRule="auto"/>
        <w:ind w:firstLineChars="200" w:firstLine="482"/>
        <w:rPr>
          <w:rFonts w:asciiTheme="minorEastAsia" w:eastAsiaTheme="minorEastAsia" w:hAnsiTheme="minorEastAsia"/>
          <w:b/>
          <w:sz w:val="24"/>
        </w:rPr>
      </w:pPr>
      <w:r w:rsidRPr="00077234">
        <w:rPr>
          <w:rFonts w:asciiTheme="minorEastAsia" w:eastAsiaTheme="minorEastAsia" w:hAnsiTheme="minorEastAsia" w:hint="eastAsia"/>
          <w:b/>
          <w:sz w:val="24"/>
        </w:rPr>
        <w:t>三、本次注销的募集资金专户情况</w:t>
      </w:r>
    </w:p>
    <w:p w:rsidR="0060371E" w:rsidRPr="00077234" w:rsidRDefault="00B05F3C"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（一）本次注销的募集资金专户基本情况</w:t>
      </w:r>
    </w:p>
    <w:p w:rsidR="00B05F3C" w:rsidRPr="00077234" w:rsidRDefault="00B05F3C"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账户名称：华孚色纺股份有限公司</w:t>
      </w:r>
    </w:p>
    <w:p w:rsidR="00B05F3C" w:rsidRPr="00077234" w:rsidRDefault="00B05F3C"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开户银行：</w:t>
      </w:r>
      <w:proofErr w:type="gramStart"/>
      <w:r w:rsidRPr="00077234">
        <w:rPr>
          <w:rFonts w:asciiTheme="minorEastAsia" w:eastAsiaTheme="minorEastAsia" w:hAnsiTheme="minorEastAsia" w:hint="eastAsia"/>
          <w:sz w:val="24"/>
        </w:rPr>
        <w:t>浙商银行</w:t>
      </w:r>
      <w:proofErr w:type="gramEnd"/>
      <w:r w:rsidRPr="00077234">
        <w:rPr>
          <w:rFonts w:asciiTheme="minorEastAsia" w:eastAsiaTheme="minorEastAsia" w:hAnsiTheme="minorEastAsia" w:hint="eastAsia"/>
          <w:sz w:val="24"/>
        </w:rPr>
        <w:t>股份有限公司绍兴上虞支行</w:t>
      </w:r>
    </w:p>
    <w:p w:rsidR="00B05F3C" w:rsidRPr="00077234" w:rsidRDefault="00B05F3C"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银行账号：3371020210120100087045</w:t>
      </w:r>
      <w:r w:rsidRPr="00077234">
        <w:rPr>
          <w:rFonts w:asciiTheme="minorEastAsia" w:eastAsiaTheme="minorEastAsia" w:hAnsiTheme="minorEastAsia"/>
          <w:sz w:val="24"/>
        </w:rPr>
        <w:t xml:space="preserve"> </w:t>
      </w:r>
    </w:p>
    <w:p w:rsidR="00B05F3C" w:rsidRPr="00077234" w:rsidRDefault="00B05F3C"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专户资金用途：补充流动资金</w:t>
      </w:r>
    </w:p>
    <w:p w:rsidR="00B05F3C" w:rsidRPr="00077234" w:rsidRDefault="00B05F3C"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（二）本次注销的募集资金专户使用情况</w:t>
      </w:r>
    </w:p>
    <w:p w:rsidR="00B05F3C" w:rsidRPr="00077234" w:rsidRDefault="00B05F3C"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募集资金到位后，公司严格按照各募集资金投资项目使用募集资金。截至本公告</w:t>
      </w:r>
      <w:proofErr w:type="gramStart"/>
      <w:r w:rsidRPr="00077234">
        <w:rPr>
          <w:rFonts w:asciiTheme="minorEastAsia" w:eastAsiaTheme="minorEastAsia" w:hAnsiTheme="minorEastAsia" w:hint="eastAsia"/>
          <w:sz w:val="24"/>
        </w:rPr>
        <w:t>作出</w:t>
      </w:r>
      <w:proofErr w:type="gramEnd"/>
      <w:r w:rsidRPr="00077234">
        <w:rPr>
          <w:rFonts w:asciiTheme="minorEastAsia" w:eastAsiaTheme="minorEastAsia" w:hAnsiTheme="minorEastAsia" w:hint="eastAsia"/>
          <w:sz w:val="24"/>
        </w:rPr>
        <w:t>之日，公司</w:t>
      </w:r>
      <w:r w:rsidRPr="00077234">
        <w:rPr>
          <w:rFonts w:asciiTheme="minorEastAsia" w:eastAsiaTheme="minorEastAsia" w:hAnsiTheme="minorEastAsia"/>
          <w:sz w:val="24"/>
        </w:rPr>
        <w:t>“</w:t>
      </w:r>
      <w:r w:rsidRPr="00077234">
        <w:rPr>
          <w:rFonts w:asciiTheme="minorEastAsia" w:eastAsiaTheme="minorEastAsia" w:hAnsiTheme="minorEastAsia" w:hint="eastAsia"/>
          <w:sz w:val="24"/>
        </w:rPr>
        <w:t>补充流动资金</w:t>
      </w:r>
      <w:r w:rsidRPr="00077234">
        <w:rPr>
          <w:rFonts w:asciiTheme="minorEastAsia" w:eastAsiaTheme="minorEastAsia" w:hAnsiTheme="minorEastAsia"/>
          <w:sz w:val="24"/>
        </w:rPr>
        <w:t>”</w:t>
      </w:r>
      <w:r w:rsidRPr="00077234">
        <w:rPr>
          <w:rFonts w:asciiTheme="minorEastAsia" w:eastAsiaTheme="minorEastAsia" w:hAnsiTheme="minorEastAsia" w:hint="eastAsia"/>
          <w:sz w:val="24"/>
        </w:rPr>
        <w:t>项目</w:t>
      </w:r>
      <w:r w:rsidR="00077234" w:rsidRPr="00077234">
        <w:rPr>
          <w:rFonts w:asciiTheme="minorEastAsia" w:eastAsiaTheme="minorEastAsia" w:hAnsiTheme="minorEastAsia" w:hint="eastAsia"/>
          <w:sz w:val="24"/>
        </w:rPr>
        <w:t>下</w:t>
      </w:r>
      <w:r w:rsidRPr="00077234">
        <w:rPr>
          <w:rFonts w:asciiTheme="minorEastAsia" w:eastAsiaTheme="minorEastAsia" w:hAnsiTheme="minorEastAsia" w:hint="eastAsia"/>
          <w:sz w:val="24"/>
        </w:rPr>
        <w:t>募集资金</w:t>
      </w:r>
      <w:r w:rsidRPr="00077234">
        <w:rPr>
          <w:rFonts w:asciiTheme="minorEastAsia" w:eastAsiaTheme="minorEastAsia" w:hAnsiTheme="minorEastAsia"/>
          <w:sz w:val="24"/>
        </w:rPr>
        <w:t>40</w:t>
      </w:r>
      <w:r w:rsidRPr="00077234">
        <w:rPr>
          <w:rFonts w:asciiTheme="minorEastAsia" w:eastAsiaTheme="minorEastAsia" w:hAnsiTheme="minorEastAsia" w:hint="eastAsia"/>
          <w:sz w:val="24"/>
        </w:rPr>
        <w:t>,</w:t>
      </w:r>
      <w:r w:rsidRPr="00077234">
        <w:rPr>
          <w:rFonts w:asciiTheme="minorEastAsia" w:eastAsiaTheme="minorEastAsia" w:hAnsiTheme="minorEastAsia"/>
          <w:sz w:val="24"/>
        </w:rPr>
        <w:t>011.6</w:t>
      </w:r>
      <w:r w:rsidRPr="00077234">
        <w:rPr>
          <w:rFonts w:asciiTheme="minorEastAsia" w:eastAsiaTheme="minorEastAsia" w:hAnsiTheme="minorEastAsia" w:hint="eastAsia"/>
          <w:sz w:val="24"/>
        </w:rPr>
        <w:t>6万元已全部补充流动资金，该募集资金专项账户利息余额也一并转出使用完毕。</w:t>
      </w:r>
    </w:p>
    <w:p w:rsidR="00B05F3C" w:rsidRPr="00077234" w:rsidRDefault="00B05F3C"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（三）本次注销的募集资金专户注销情况</w:t>
      </w:r>
    </w:p>
    <w:p w:rsidR="00B05F3C" w:rsidRPr="00077234" w:rsidRDefault="00B05F3C" w:rsidP="0048540F">
      <w:pPr>
        <w:spacing w:line="360" w:lineRule="auto"/>
        <w:ind w:firstLineChars="200" w:firstLine="480"/>
        <w:rPr>
          <w:rFonts w:asciiTheme="minorEastAsia" w:eastAsiaTheme="minorEastAsia" w:hAnsiTheme="minorEastAsia"/>
          <w:sz w:val="24"/>
        </w:rPr>
      </w:pPr>
      <w:r w:rsidRPr="00077234">
        <w:rPr>
          <w:rFonts w:asciiTheme="minorEastAsia" w:eastAsiaTheme="minorEastAsia" w:hAnsiTheme="minorEastAsia" w:hint="eastAsia"/>
          <w:sz w:val="24"/>
        </w:rPr>
        <w:t>鉴于公司已按照本次非公开发行股票募集资金规定的用途完成了</w:t>
      </w:r>
      <w:r w:rsidRPr="00077234">
        <w:rPr>
          <w:rFonts w:asciiTheme="minorEastAsia" w:eastAsiaTheme="minorEastAsia" w:hAnsiTheme="minorEastAsia"/>
          <w:sz w:val="24"/>
        </w:rPr>
        <w:t>“</w:t>
      </w:r>
      <w:r w:rsidRPr="00077234">
        <w:rPr>
          <w:rFonts w:asciiTheme="minorEastAsia" w:eastAsiaTheme="minorEastAsia" w:hAnsiTheme="minorEastAsia" w:hint="eastAsia"/>
          <w:sz w:val="24"/>
        </w:rPr>
        <w:t>上市公司补充流动资金</w:t>
      </w:r>
      <w:r w:rsidRPr="00077234">
        <w:rPr>
          <w:rFonts w:asciiTheme="minorEastAsia" w:eastAsiaTheme="minorEastAsia" w:hAnsiTheme="minorEastAsia"/>
          <w:sz w:val="24"/>
        </w:rPr>
        <w:t>”</w:t>
      </w:r>
      <w:bookmarkStart w:id="0" w:name="_GoBack"/>
      <w:bookmarkEnd w:id="0"/>
      <w:r w:rsidRPr="00077234">
        <w:rPr>
          <w:rFonts w:asciiTheme="minorEastAsia" w:eastAsiaTheme="minorEastAsia" w:hAnsiTheme="minorEastAsia" w:hint="eastAsia"/>
          <w:sz w:val="24"/>
        </w:rPr>
        <w:t>项目款项</w:t>
      </w:r>
      <w:r w:rsidRPr="00077234">
        <w:rPr>
          <w:rFonts w:asciiTheme="minorEastAsia" w:eastAsiaTheme="minorEastAsia" w:hAnsiTheme="minorEastAsia"/>
          <w:sz w:val="24"/>
        </w:rPr>
        <w:t>40</w:t>
      </w:r>
      <w:r w:rsidRPr="00077234">
        <w:rPr>
          <w:rFonts w:asciiTheme="minorEastAsia" w:eastAsiaTheme="minorEastAsia" w:hAnsiTheme="minorEastAsia" w:hint="eastAsia"/>
          <w:sz w:val="24"/>
        </w:rPr>
        <w:t>,</w:t>
      </w:r>
      <w:r w:rsidRPr="00077234">
        <w:rPr>
          <w:rFonts w:asciiTheme="minorEastAsia" w:eastAsiaTheme="minorEastAsia" w:hAnsiTheme="minorEastAsia"/>
          <w:sz w:val="24"/>
        </w:rPr>
        <w:t>011.6</w:t>
      </w:r>
      <w:r w:rsidRPr="00077234">
        <w:rPr>
          <w:rFonts w:asciiTheme="minorEastAsia" w:eastAsiaTheme="minorEastAsia" w:hAnsiTheme="minorEastAsia" w:hint="eastAsia"/>
          <w:sz w:val="24"/>
        </w:rPr>
        <w:t>6万元的运行工作，公司决定注销该募集资金专户。</w:t>
      </w:r>
      <w:r w:rsidRPr="00077234">
        <w:rPr>
          <w:rFonts w:asciiTheme="minorEastAsia" w:eastAsiaTheme="minorEastAsia" w:hAnsiTheme="minorEastAsia"/>
          <w:sz w:val="24"/>
        </w:rPr>
        <w:t>2017</w:t>
      </w:r>
      <w:r w:rsidRPr="00077234">
        <w:rPr>
          <w:rFonts w:asciiTheme="minorEastAsia" w:eastAsiaTheme="minorEastAsia" w:hAnsiTheme="minorEastAsia" w:hint="eastAsia"/>
          <w:sz w:val="24"/>
        </w:rPr>
        <w:t>年8月</w:t>
      </w:r>
      <w:r w:rsidR="0048540F" w:rsidRPr="00077234">
        <w:rPr>
          <w:rFonts w:asciiTheme="minorEastAsia" w:eastAsiaTheme="minorEastAsia" w:hAnsiTheme="minorEastAsia" w:hint="eastAsia"/>
          <w:sz w:val="24"/>
        </w:rPr>
        <w:t>23</w:t>
      </w:r>
      <w:r w:rsidRPr="00077234">
        <w:rPr>
          <w:rFonts w:asciiTheme="minorEastAsia" w:eastAsiaTheme="minorEastAsia" w:hAnsiTheme="minorEastAsia" w:hint="eastAsia"/>
          <w:sz w:val="24"/>
        </w:rPr>
        <w:t>日，公司已办理该专户的注销手续。该专项账户注销后，公司</w:t>
      </w:r>
      <w:proofErr w:type="gramStart"/>
      <w:r w:rsidRPr="00077234">
        <w:rPr>
          <w:rFonts w:asciiTheme="minorEastAsia" w:eastAsiaTheme="minorEastAsia" w:hAnsiTheme="minorEastAsia" w:hint="eastAsia"/>
          <w:sz w:val="24"/>
        </w:rPr>
        <w:t>与浙商银行</w:t>
      </w:r>
      <w:proofErr w:type="gramEnd"/>
      <w:r w:rsidRPr="00077234">
        <w:rPr>
          <w:rFonts w:asciiTheme="minorEastAsia" w:eastAsiaTheme="minorEastAsia" w:hAnsiTheme="minorEastAsia" w:hint="eastAsia"/>
          <w:sz w:val="24"/>
        </w:rPr>
        <w:t>股份有限公司绍兴上虞支行、</w:t>
      </w:r>
      <w:r w:rsidR="00420F8A" w:rsidRPr="00077234">
        <w:rPr>
          <w:rFonts w:asciiTheme="minorEastAsia" w:eastAsiaTheme="minorEastAsia" w:hAnsiTheme="minorEastAsia" w:hint="eastAsia"/>
          <w:sz w:val="24"/>
        </w:rPr>
        <w:t>华泰联合证券有限责任公司</w:t>
      </w:r>
      <w:r w:rsidRPr="00077234">
        <w:rPr>
          <w:rFonts w:asciiTheme="minorEastAsia" w:eastAsiaTheme="minorEastAsia" w:hAnsiTheme="minorEastAsia" w:hint="eastAsia"/>
          <w:sz w:val="24"/>
        </w:rPr>
        <w:t>签订的</w:t>
      </w:r>
      <w:r w:rsidR="004460F9">
        <w:rPr>
          <w:rFonts w:asciiTheme="minorEastAsia" w:eastAsiaTheme="minorEastAsia" w:hAnsiTheme="minorEastAsia" w:hint="eastAsia"/>
          <w:sz w:val="24"/>
        </w:rPr>
        <w:t>募集资金三方</w:t>
      </w:r>
      <w:r w:rsidRPr="00077234">
        <w:rPr>
          <w:rFonts w:asciiTheme="minorEastAsia" w:eastAsiaTheme="minorEastAsia" w:hAnsiTheme="minorEastAsia" w:hint="eastAsia"/>
          <w:sz w:val="24"/>
        </w:rPr>
        <w:t>监管协议相应终止。截至本公告</w:t>
      </w:r>
      <w:proofErr w:type="gramStart"/>
      <w:r w:rsidRPr="00077234">
        <w:rPr>
          <w:rFonts w:asciiTheme="minorEastAsia" w:eastAsiaTheme="minorEastAsia" w:hAnsiTheme="minorEastAsia" w:hint="eastAsia"/>
          <w:sz w:val="24"/>
        </w:rPr>
        <w:t>作出</w:t>
      </w:r>
      <w:proofErr w:type="gramEnd"/>
      <w:r w:rsidRPr="00077234">
        <w:rPr>
          <w:rFonts w:asciiTheme="minorEastAsia" w:eastAsiaTheme="minorEastAsia" w:hAnsiTheme="minorEastAsia" w:hint="eastAsia"/>
          <w:sz w:val="24"/>
        </w:rPr>
        <w:t>之日，公司本次非公开发行股票募集资金其他专项账户仍在正常使用，公司将继续加强对各募集资金专项账户的管理。</w:t>
      </w:r>
    </w:p>
    <w:p w:rsidR="00420F8A" w:rsidRDefault="00420F8A" w:rsidP="0048540F">
      <w:pPr>
        <w:spacing w:line="360" w:lineRule="auto"/>
        <w:ind w:firstLineChars="200" w:firstLine="480"/>
        <w:rPr>
          <w:sz w:val="24"/>
        </w:rPr>
      </w:pPr>
      <w:r w:rsidRPr="00420F8A">
        <w:rPr>
          <w:rFonts w:hint="eastAsia"/>
          <w:sz w:val="24"/>
        </w:rPr>
        <w:t>特此公告。</w:t>
      </w:r>
    </w:p>
    <w:p w:rsidR="00420F8A" w:rsidRDefault="00420F8A" w:rsidP="0048540F">
      <w:pPr>
        <w:spacing w:line="360" w:lineRule="auto"/>
        <w:ind w:firstLineChars="200" w:firstLine="480"/>
        <w:jc w:val="right"/>
        <w:rPr>
          <w:sz w:val="24"/>
        </w:rPr>
      </w:pPr>
      <w:r>
        <w:rPr>
          <w:rFonts w:hint="eastAsia"/>
          <w:sz w:val="24"/>
        </w:rPr>
        <w:t>华孚色纺股份有限公司董事会</w:t>
      </w:r>
    </w:p>
    <w:p w:rsidR="00420F8A" w:rsidRPr="00420F8A" w:rsidRDefault="00420F8A" w:rsidP="0048540F">
      <w:pPr>
        <w:spacing w:line="360" w:lineRule="auto"/>
        <w:ind w:firstLineChars="200" w:firstLine="480"/>
        <w:jc w:val="right"/>
        <w:rPr>
          <w:sz w:val="24"/>
        </w:rPr>
      </w:pPr>
      <w:r w:rsidRPr="00077234">
        <w:rPr>
          <w:rFonts w:hint="eastAsia"/>
          <w:sz w:val="24"/>
        </w:rPr>
        <w:t>二〇一七年八月</w:t>
      </w:r>
      <w:r w:rsidR="00077234">
        <w:rPr>
          <w:rFonts w:hint="eastAsia"/>
          <w:sz w:val="24"/>
        </w:rPr>
        <w:t>二十五</w:t>
      </w:r>
      <w:r w:rsidRPr="00077234">
        <w:rPr>
          <w:rFonts w:hint="eastAsia"/>
          <w:sz w:val="24"/>
        </w:rPr>
        <w:t>日</w:t>
      </w:r>
    </w:p>
    <w:sectPr w:rsidR="00420F8A" w:rsidRPr="00420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0F9" w:rsidRDefault="004460F9" w:rsidP="00AC123B">
      <w:r>
        <w:separator/>
      </w:r>
    </w:p>
  </w:endnote>
  <w:endnote w:type="continuationSeparator" w:id="0">
    <w:p w:rsidR="004460F9" w:rsidRDefault="004460F9" w:rsidP="00AC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0F9" w:rsidRDefault="004460F9" w:rsidP="00AC123B">
      <w:r>
        <w:separator/>
      </w:r>
    </w:p>
  </w:footnote>
  <w:footnote w:type="continuationSeparator" w:id="0">
    <w:p w:rsidR="004460F9" w:rsidRDefault="004460F9" w:rsidP="00AC1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62801"/>
    <w:multiLevelType w:val="hybridMultilevel"/>
    <w:tmpl w:val="95704E18"/>
    <w:lvl w:ilvl="0" w:tplc="C30402C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469597F"/>
    <w:multiLevelType w:val="hybridMultilevel"/>
    <w:tmpl w:val="0FE87D78"/>
    <w:lvl w:ilvl="0" w:tplc="63CA940C">
      <w:start w:val="1"/>
      <w:numFmt w:val="japaneseCounting"/>
      <w:lvlText w:val="（%1）"/>
      <w:lvlJc w:val="left"/>
      <w:pPr>
        <w:ind w:left="825" w:hanging="72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63"/>
    <w:rsid w:val="00077234"/>
    <w:rsid w:val="00110CA2"/>
    <w:rsid w:val="00141BBA"/>
    <w:rsid w:val="00160828"/>
    <w:rsid w:val="00171561"/>
    <w:rsid w:val="001834CB"/>
    <w:rsid w:val="00287EF9"/>
    <w:rsid w:val="002E4AAA"/>
    <w:rsid w:val="00345818"/>
    <w:rsid w:val="003E3AAF"/>
    <w:rsid w:val="00420F8A"/>
    <w:rsid w:val="004311AF"/>
    <w:rsid w:val="004460F9"/>
    <w:rsid w:val="0048540F"/>
    <w:rsid w:val="004E7761"/>
    <w:rsid w:val="00555B86"/>
    <w:rsid w:val="00583371"/>
    <w:rsid w:val="005C6441"/>
    <w:rsid w:val="0060371E"/>
    <w:rsid w:val="00630782"/>
    <w:rsid w:val="00642779"/>
    <w:rsid w:val="00666BB4"/>
    <w:rsid w:val="00677B15"/>
    <w:rsid w:val="006822AB"/>
    <w:rsid w:val="0078325A"/>
    <w:rsid w:val="007D3B51"/>
    <w:rsid w:val="00832685"/>
    <w:rsid w:val="00841BE8"/>
    <w:rsid w:val="00862A46"/>
    <w:rsid w:val="008C75BA"/>
    <w:rsid w:val="00914B09"/>
    <w:rsid w:val="009D0419"/>
    <w:rsid w:val="009F32C2"/>
    <w:rsid w:val="009F6BAB"/>
    <w:rsid w:val="00A22881"/>
    <w:rsid w:val="00A32F84"/>
    <w:rsid w:val="00AC123B"/>
    <w:rsid w:val="00AC591E"/>
    <w:rsid w:val="00AE3B72"/>
    <w:rsid w:val="00B05F3C"/>
    <w:rsid w:val="00BF13AE"/>
    <w:rsid w:val="00C16C58"/>
    <w:rsid w:val="00C8198D"/>
    <w:rsid w:val="00CF0030"/>
    <w:rsid w:val="00D851B2"/>
    <w:rsid w:val="00DA360D"/>
    <w:rsid w:val="00DD5F9B"/>
    <w:rsid w:val="00EE6A63"/>
    <w:rsid w:val="00F01039"/>
    <w:rsid w:val="00F54AEF"/>
    <w:rsid w:val="00F758CC"/>
    <w:rsid w:val="00F84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2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123B"/>
    <w:rPr>
      <w:sz w:val="18"/>
      <w:szCs w:val="18"/>
    </w:rPr>
  </w:style>
  <w:style w:type="paragraph" w:styleId="a4">
    <w:name w:val="footer"/>
    <w:basedOn w:val="a"/>
    <w:link w:val="Char0"/>
    <w:uiPriority w:val="99"/>
    <w:unhideWhenUsed/>
    <w:rsid w:val="00AC12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123B"/>
    <w:rPr>
      <w:sz w:val="18"/>
      <w:szCs w:val="18"/>
    </w:rPr>
  </w:style>
  <w:style w:type="paragraph" w:styleId="a5">
    <w:name w:val="List Paragraph"/>
    <w:basedOn w:val="a"/>
    <w:uiPriority w:val="34"/>
    <w:qFormat/>
    <w:rsid w:val="00AC123B"/>
    <w:pPr>
      <w:ind w:firstLineChars="200" w:firstLine="420"/>
    </w:pPr>
  </w:style>
  <w:style w:type="paragraph" w:customStyle="1" w:styleId="CM1">
    <w:name w:val="CM1"/>
    <w:basedOn w:val="a"/>
    <w:next w:val="a"/>
    <w:rsid w:val="00C8198D"/>
    <w:pPr>
      <w:autoSpaceDE w:val="0"/>
      <w:autoSpaceDN w:val="0"/>
      <w:adjustRightInd w:val="0"/>
      <w:spacing w:line="560" w:lineRule="atLeast"/>
      <w:jc w:val="left"/>
    </w:pPr>
    <w:rPr>
      <w:rFonts w:ascii="黑体" w:eastAsia="黑体"/>
      <w:kern w:val="0"/>
      <w:sz w:val="24"/>
    </w:rPr>
  </w:style>
  <w:style w:type="paragraph" w:customStyle="1" w:styleId="Default">
    <w:name w:val="Default"/>
    <w:rsid w:val="0078325A"/>
    <w:pPr>
      <w:widowControl w:val="0"/>
      <w:autoSpaceDE w:val="0"/>
      <w:autoSpaceDN w:val="0"/>
      <w:adjustRightInd w:val="0"/>
    </w:pPr>
    <w:rPr>
      <w:rFonts w:ascii="宋体" w:eastAsia="宋体" w:cs="宋体"/>
      <w:color w:val="000000"/>
      <w:kern w:val="0"/>
      <w:sz w:val="24"/>
      <w:szCs w:val="24"/>
    </w:rPr>
  </w:style>
  <w:style w:type="table" w:styleId="a6">
    <w:name w:val="Table Grid"/>
    <w:basedOn w:val="a1"/>
    <w:uiPriority w:val="59"/>
    <w:rsid w:val="00141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8540F"/>
    <w:rPr>
      <w:sz w:val="18"/>
      <w:szCs w:val="18"/>
    </w:rPr>
  </w:style>
  <w:style w:type="character" w:customStyle="1" w:styleId="Char1">
    <w:name w:val="批注框文本 Char"/>
    <w:basedOn w:val="a0"/>
    <w:link w:val="a7"/>
    <w:uiPriority w:val="99"/>
    <w:semiHidden/>
    <w:rsid w:val="004854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2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123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C123B"/>
    <w:rPr>
      <w:sz w:val="18"/>
      <w:szCs w:val="18"/>
    </w:rPr>
  </w:style>
  <w:style w:type="paragraph" w:styleId="a4">
    <w:name w:val="footer"/>
    <w:basedOn w:val="a"/>
    <w:link w:val="Char0"/>
    <w:uiPriority w:val="99"/>
    <w:unhideWhenUsed/>
    <w:rsid w:val="00AC12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C123B"/>
    <w:rPr>
      <w:sz w:val="18"/>
      <w:szCs w:val="18"/>
    </w:rPr>
  </w:style>
  <w:style w:type="paragraph" w:styleId="a5">
    <w:name w:val="List Paragraph"/>
    <w:basedOn w:val="a"/>
    <w:uiPriority w:val="34"/>
    <w:qFormat/>
    <w:rsid w:val="00AC123B"/>
    <w:pPr>
      <w:ind w:firstLineChars="200" w:firstLine="420"/>
    </w:pPr>
  </w:style>
  <w:style w:type="paragraph" w:customStyle="1" w:styleId="CM1">
    <w:name w:val="CM1"/>
    <w:basedOn w:val="a"/>
    <w:next w:val="a"/>
    <w:rsid w:val="00C8198D"/>
    <w:pPr>
      <w:autoSpaceDE w:val="0"/>
      <w:autoSpaceDN w:val="0"/>
      <w:adjustRightInd w:val="0"/>
      <w:spacing w:line="560" w:lineRule="atLeast"/>
      <w:jc w:val="left"/>
    </w:pPr>
    <w:rPr>
      <w:rFonts w:ascii="黑体" w:eastAsia="黑体"/>
      <w:kern w:val="0"/>
      <w:sz w:val="24"/>
    </w:rPr>
  </w:style>
  <w:style w:type="paragraph" w:customStyle="1" w:styleId="Default">
    <w:name w:val="Default"/>
    <w:rsid w:val="0078325A"/>
    <w:pPr>
      <w:widowControl w:val="0"/>
      <w:autoSpaceDE w:val="0"/>
      <w:autoSpaceDN w:val="0"/>
      <w:adjustRightInd w:val="0"/>
    </w:pPr>
    <w:rPr>
      <w:rFonts w:ascii="宋体" w:eastAsia="宋体" w:cs="宋体"/>
      <w:color w:val="000000"/>
      <w:kern w:val="0"/>
      <w:sz w:val="24"/>
      <w:szCs w:val="24"/>
    </w:rPr>
  </w:style>
  <w:style w:type="table" w:styleId="a6">
    <w:name w:val="Table Grid"/>
    <w:basedOn w:val="a1"/>
    <w:uiPriority w:val="59"/>
    <w:rsid w:val="00141B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48540F"/>
    <w:rPr>
      <w:sz w:val="18"/>
      <w:szCs w:val="18"/>
    </w:rPr>
  </w:style>
  <w:style w:type="character" w:customStyle="1" w:styleId="Char1">
    <w:name w:val="批注框文本 Char"/>
    <w:basedOn w:val="a0"/>
    <w:link w:val="a7"/>
    <w:uiPriority w:val="99"/>
    <w:semiHidden/>
    <w:rsid w:val="004854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227</Words>
  <Characters>1297</Characters>
  <Application>Microsoft Office Word</Application>
  <DocSecurity>0</DocSecurity>
  <Lines>10</Lines>
  <Paragraphs>3</Paragraphs>
  <ScaleCrop>false</ScaleCrop>
  <Company>Lenovo</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杨溶</dc:creator>
  <cp:keywords/>
  <dc:description/>
  <cp:lastModifiedBy>杨溶</cp:lastModifiedBy>
  <cp:revision>12</cp:revision>
  <cp:lastPrinted>2017-08-23T06:34:00Z</cp:lastPrinted>
  <dcterms:created xsi:type="dcterms:W3CDTF">2017-08-10T06:28:00Z</dcterms:created>
  <dcterms:modified xsi:type="dcterms:W3CDTF">2017-08-23T09:10:00Z</dcterms:modified>
</cp:coreProperties>
</file>