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F3" w:rsidRPr="00777507" w:rsidRDefault="00844CF3" w:rsidP="00844CF3">
      <w:pPr>
        <w:spacing w:line="360" w:lineRule="auto"/>
        <w:jc w:val="center"/>
        <w:rPr>
          <w:b/>
          <w:bCs/>
          <w:color w:val="000000"/>
          <w:sz w:val="24"/>
        </w:rPr>
      </w:pPr>
      <w:r w:rsidRPr="00777507">
        <w:rPr>
          <w:rFonts w:eastAsia="黑体"/>
          <w:bCs/>
          <w:kern w:val="0"/>
          <w:sz w:val="24"/>
          <w:szCs w:val="21"/>
        </w:rPr>
        <w:t>证券代码：</w:t>
      </w:r>
      <w:r w:rsidRPr="00777507">
        <w:rPr>
          <w:rFonts w:eastAsia="黑体"/>
          <w:bCs/>
          <w:kern w:val="0"/>
          <w:sz w:val="24"/>
          <w:szCs w:val="21"/>
        </w:rPr>
        <w:t xml:space="preserve">002042         </w:t>
      </w:r>
      <w:r w:rsidRPr="00777507">
        <w:rPr>
          <w:rFonts w:eastAsia="黑体"/>
          <w:bCs/>
          <w:kern w:val="0"/>
          <w:sz w:val="24"/>
          <w:szCs w:val="21"/>
        </w:rPr>
        <w:t>证券简称：华孚色纺</w:t>
      </w:r>
      <w:r w:rsidRPr="00777507">
        <w:rPr>
          <w:rFonts w:eastAsia="黑体"/>
          <w:bCs/>
          <w:kern w:val="0"/>
          <w:sz w:val="24"/>
          <w:szCs w:val="21"/>
        </w:rPr>
        <w:t xml:space="preserve">        </w:t>
      </w:r>
      <w:r w:rsidRPr="00777507">
        <w:rPr>
          <w:rFonts w:eastAsia="黑体"/>
          <w:bCs/>
          <w:kern w:val="0"/>
          <w:sz w:val="24"/>
          <w:szCs w:val="21"/>
        </w:rPr>
        <w:t>公告编号：</w:t>
      </w:r>
      <w:r>
        <w:rPr>
          <w:rFonts w:eastAsia="黑体" w:hint="eastAsia"/>
          <w:bCs/>
          <w:kern w:val="0"/>
          <w:sz w:val="24"/>
          <w:szCs w:val="21"/>
        </w:rPr>
        <w:t>2017-</w:t>
      </w:r>
      <w:r w:rsidR="005C381B">
        <w:rPr>
          <w:rFonts w:eastAsia="黑体" w:hint="eastAsia"/>
          <w:bCs/>
          <w:kern w:val="0"/>
          <w:sz w:val="24"/>
          <w:szCs w:val="21"/>
        </w:rPr>
        <w:t>14</w:t>
      </w:r>
    </w:p>
    <w:p w:rsidR="00844CF3" w:rsidRPr="00777507" w:rsidRDefault="00844CF3" w:rsidP="00844CF3">
      <w:pPr>
        <w:spacing w:line="240" w:lineRule="exact"/>
        <w:ind w:rightChars="20" w:right="42"/>
        <w:rPr>
          <w:b/>
          <w:bCs/>
          <w:color w:val="000000"/>
          <w:sz w:val="24"/>
          <w:szCs w:val="36"/>
        </w:rPr>
      </w:pPr>
    </w:p>
    <w:p w:rsidR="00844CF3" w:rsidRPr="00777507" w:rsidRDefault="00844CF3" w:rsidP="00844CF3">
      <w:pPr>
        <w:spacing w:line="360" w:lineRule="auto"/>
        <w:ind w:rightChars="20" w:right="42"/>
        <w:jc w:val="center"/>
        <w:rPr>
          <w:b/>
          <w:bCs/>
          <w:color w:val="000000"/>
          <w:sz w:val="36"/>
          <w:szCs w:val="36"/>
        </w:rPr>
      </w:pPr>
      <w:r w:rsidRPr="00777507">
        <w:rPr>
          <w:b/>
          <w:bCs/>
          <w:color w:val="000000"/>
          <w:sz w:val="36"/>
          <w:szCs w:val="36"/>
        </w:rPr>
        <w:t>华孚色纺股份有限公司</w:t>
      </w:r>
    </w:p>
    <w:p w:rsidR="00844CF3" w:rsidRPr="00777507" w:rsidRDefault="005637B5" w:rsidP="00844CF3">
      <w:pPr>
        <w:spacing w:line="360" w:lineRule="auto"/>
        <w:ind w:rightChars="20" w:right="42"/>
        <w:jc w:val="center"/>
        <w:rPr>
          <w:b/>
          <w:bCs/>
          <w:color w:val="000000"/>
          <w:sz w:val="36"/>
          <w:szCs w:val="36"/>
        </w:rPr>
      </w:pPr>
      <w:r>
        <w:rPr>
          <w:rFonts w:hint="eastAsia"/>
          <w:b/>
          <w:bCs/>
          <w:color w:val="000000"/>
          <w:sz w:val="36"/>
          <w:szCs w:val="36"/>
        </w:rPr>
        <w:t>关于预计</w:t>
      </w:r>
      <w:r w:rsidR="00844CF3" w:rsidRPr="00777507">
        <w:rPr>
          <w:b/>
          <w:bCs/>
          <w:color w:val="000000"/>
          <w:sz w:val="36"/>
          <w:szCs w:val="36"/>
        </w:rPr>
        <w:t>201</w:t>
      </w:r>
      <w:r w:rsidR="00844CF3">
        <w:rPr>
          <w:rFonts w:hint="eastAsia"/>
          <w:b/>
          <w:bCs/>
          <w:color w:val="000000"/>
          <w:sz w:val="36"/>
          <w:szCs w:val="36"/>
        </w:rPr>
        <w:t>7</w:t>
      </w:r>
      <w:r w:rsidR="00844CF3" w:rsidRPr="00777507">
        <w:rPr>
          <w:b/>
          <w:bCs/>
          <w:color w:val="000000"/>
          <w:sz w:val="36"/>
          <w:szCs w:val="36"/>
        </w:rPr>
        <w:t>年度日常关联交易公告</w:t>
      </w:r>
    </w:p>
    <w:p w:rsidR="00844CF3" w:rsidRPr="00777507" w:rsidRDefault="00844CF3" w:rsidP="00844CF3">
      <w:pPr>
        <w:spacing w:line="360" w:lineRule="auto"/>
        <w:ind w:rightChars="20" w:right="42" w:firstLineChars="200" w:firstLine="480"/>
        <w:rPr>
          <w:rFonts w:eastAsia="楷体_GB2312"/>
          <w:color w:val="000000"/>
          <w:sz w:val="24"/>
        </w:rPr>
      </w:pPr>
      <w:r w:rsidRPr="00777507">
        <w:rPr>
          <w:rFonts w:eastAsia="楷体_GB2312"/>
          <w:color w:val="000000"/>
          <w:sz w:val="24"/>
        </w:rPr>
        <w:t>本公司及董事会全体成员保证信息披露的内容真实、准确、完整，没有虚假记载、误导性陈述或重大遗漏。</w:t>
      </w:r>
    </w:p>
    <w:p w:rsidR="00844CF3" w:rsidRPr="0038741E" w:rsidRDefault="00844CF3" w:rsidP="00844CF3">
      <w:pPr>
        <w:autoSpaceDE w:val="0"/>
        <w:autoSpaceDN w:val="0"/>
        <w:adjustRightInd w:val="0"/>
        <w:spacing w:beforeLines="50" w:before="156" w:afterLines="50" w:after="156" w:line="400" w:lineRule="exact"/>
        <w:ind w:left="471" w:rightChars="20" w:right="42"/>
        <w:jc w:val="left"/>
        <w:outlineLvl w:val="0"/>
        <w:rPr>
          <w:b/>
          <w:color w:val="000000"/>
          <w:sz w:val="24"/>
        </w:rPr>
      </w:pPr>
      <w:r w:rsidRPr="0038741E">
        <w:rPr>
          <w:rFonts w:hint="eastAsia"/>
          <w:b/>
          <w:color w:val="000000"/>
          <w:sz w:val="24"/>
        </w:rPr>
        <w:t>一、</w:t>
      </w:r>
      <w:r w:rsidRPr="0038741E">
        <w:rPr>
          <w:b/>
          <w:color w:val="000000"/>
          <w:sz w:val="24"/>
        </w:rPr>
        <w:t>201</w:t>
      </w:r>
      <w:r w:rsidR="00E453C9">
        <w:rPr>
          <w:rFonts w:hint="eastAsia"/>
          <w:b/>
          <w:color w:val="000000"/>
          <w:sz w:val="24"/>
        </w:rPr>
        <w:t>7</w:t>
      </w:r>
      <w:r w:rsidRPr="0038741E">
        <w:rPr>
          <w:rFonts w:hint="eastAsia"/>
          <w:b/>
          <w:color w:val="000000"/>
          <w:sz w:val="24"/>
        </w:rPr>
        <w:t>年全年日常关联交易预计情况</w:t>
      </w:r>
    </w:p>
    <w:tbl>
      <w:tblPr>
        <w:tblW w:w="5058" w:type="pct"/>
        <w:tblCellMar>
          <w:left w:w="0" w:type="dxa"/>
          <w:right w:w="0" w:type="dxa"/>
        </w:tblCellMar>
        <w:tblLook w:val="04A0" w:firstRow="1" w:lastRow="0" w:firstColumn="1" w:lastColumn="0" w:noHBand="0" w:noVBand="1"/>
      </w:tblPr>
      <w:tblGrid>
        <w:gridCol w:w="470"/>
        <w:gridCol w:w="914"/>
        <w:gridCol w:w="1135"/>
        <w:gridCol w:w="1381"/>
        <w:gridCol w:w="1103"/>
        <w:gridCol w:w="1227"/>
        <w:gridCol w:w="1147"/>
        <w:gridCol w:w="1145"/>
      </w:tblGrid>
      <w:tr w:rsidR="007B2470" w:rsidRPr="009073FC" w:rsidTr="0082793D">
        <w:trPr>
          <w:trHeight w:hRule="exact" w:val="1081"/>
        </w:trPr>
        <w:tc>
          <w:tcPr>
            <w:tcW w:w="27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7B2470">
            <w:pPr>
              <w:spacing w:before="50" w:afterLines="50" w:after="156"/>
              <w:ind w:rightChars="20" w:right="42"/>
              <w:jc w:val="center"/>
              <w:rPr>
                <w:rFonts w:ascii="Arial" w:hAnsi="Arial" w:cs="Arial"/>
                <w:szCs w:val="21"/>
              </w:rPr>
            </w:pPr>
            <w:r w:rsidRPr="009073FC">
              <w:rPr>
                <w:rFonts w:ascii="宋体" w:hAnsi="宋体" w:hint="eastAsia"/>
              </w:rPr>
              <w:t>序号</w:t>
            </w:r>
          </w:p>
        </w:tc>
        <w:tc>
          <w:tcPr>
            <w:tcW w:w="5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宋体" w:hAnsi="宋体" w:hint="eastAsia"/>
              </w:rPr>
              <w:t>关联交易类别</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宋体" w:hAnsi="宋体" w:hint="eastAsia"/>
              </w:rPr>
              <w:t>关联人</w:t>
            </w:r>
          </w:p>
        </w:tc>
        <w:tc>
          <w:tcPr>
            <w:tcW w:w="81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E453C9">
            <w:pPr>
              <w:spacing w:before="50" w:afterLines="50" w:after="156"/>
              <w:ind w:rightChars="20" w:right="42"/>
              <w:jc w:val="center"/>
              <w:rPr>
                <w:rFonts w:ascii="Arial" w:hAnsi="Arial" w:cs="Arial"/>
                <w:szCs w:val="21"/>
              </w:rPr>
            </w:pPr>
            <w:r w:rsidRPr="009073FC">
              <w:rPr>
                <w:rFonts w:ascii="宋体" w:hAnsi="宋体" w:hint="eastAsia"/>
              </w:rPr>
              <w:t>预计</w:t>
            </w:r>
            <w:r w:rsidRPr="009073FC">
              <w:t>201</w:t>
            </w:r>
            <w:r w:rsidRPr="009073FC">
              <w:rPr>
                <w:rFonts w:hint="eastAsia"/>
              </w:rPr>
              <w:t>7</w:t>
            </w:r>
            <w:r w:rsidRPr="009073FC">
              <w:rPr>
                <w:rFonts w:ascii="宋体" w:hAnsi="宋体" w:hint="eastAsia"/>
              </w:rPr>
              <w:t>年度交易总金额</w:t>
            </w:r>
          </w:p>
        </w:tc>
        <w:tc>
          <w:tcPr>
            <w:tcW w:w="6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470" w:rsidRPr="009073FC" w:rsidRDefault="007B2470" w:rsidP="00E453C9">
            <w:pPr>
              <w:spacing w:before="50" w:afterLines="50" w:after="156"/>
              <w:ind w:rightChars="20" w:right="42"/>
              <w:jc w:val="center"/>
              <w:rPr>
                <w:rFonts w:ascii="Arial" w:hAnsi="Arial" w:cs="Arial"/>
                <w:szCs w:val="21"/>
              </w:rPr>
            </w:pPr>
            <w:r w:rsidRPr="009073FC">
              <w:t>201</w:t>
            </w:r>
            <w:r w:rsidRPr="009073FC">
              <w:rPr>
                <w:rFonts w:hint="eastAsia"/>
              </w:rPr>
              <w:t>7</w:t>
            </w:r>
            <w:r w:rsidRPr="009073FC">
              <w:rPr>
                <w:rFonts w:ascii="宋体" w:hAnsi="宋体" w:hint="eastAsia"/>
              </w:rPr>
              <w:t>年预计发生额</w:t>
            </w:r>
          </w:p>
        </w:tc>
        <w:tc>
          <w:tcPr>
            <w:tcW w:w="72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470" w:rsidRPr="009073FC" w:rsidRDefault="007B2470" w:rsidP="00E453C9">
            <w:pPr>
              <w:spacing w:before="50" w:afterLines="50" w:after="156"/>
              <w:ind w:rightChars="20" w:right="42"/>
              <w:jc w:val="center"/>
              <w:rPr>
                <w:rFonts w:ascii="Arial" w:hAnsi="Arial" w:cs="Arial"/>
                <w:szCs w:val="21"/>
              </w:rPr>
            </w:pPr>
            <w:r w:rsidRPr="009073FC">
              <w:t>201</w:t>
            </w:r>
            <w:r w:rsidRPr="009073FC">
              <w:rPr>
                <w:rFonts w:hint="eastAsia"/>
              </w:rPr>
              <w:t>6</w:t>
            </w:r>
            <w:r w:rsidRPr="009073FC">
              <w:rPr>
                <w:rFonts w:ascii="宋体" w:hAnsi="宋体" w:hint="eastAsia"/>
              </w:rPr>
              <w:t>年实际发生额</w:t>
            </w:r>
          </w:p>
        </w:tc>
        <w:tc>
          <w:tcPr>
            <w:tcW w:w="67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470" w:rsidRPr="009073FC" w:rsidRDefault="007B2470" w:rsidP="00E453C9">
            <w:pPr>
              <w:spacing w:before="50" w:afterLines="50" w:after="156"/>
              <w:ind w:rightChars="20" w:right="42"/>
              <w:jc w:val="center"/>
              <w:rPr>
                <w:rFonts w:ascii="Arial" w:hAnsi="Arial" w:cs="Arial"/>
                <w:szCs w:val="21"/>
              </w:rPr>
            </w:pPr>
            <w:r w:rsidRPr="009073FC">
              <w:t>201</w:t>
            </w:r>
            <w:r w:rsidRPr="009073FC">
              <w:rPr>
                <w:rFonts w:hint="eastAsia"/>
              </w:rPr>
              <w:t>6</w:t>
            </w:r>
            <w:r w:rsidRPr="009073FC">
              <w:rPr>
                <w:rFonts w:ascii="宋体" w:hAnsi="宋体" w:hint="eastAsia"/>
              </w:rPr>
              <w:t>年关联交易占同类业务的比例</w:t>
            </w:r>
          </w:p>
        </w:tc>
        <w:tc>
          <w:tcPr>
            <w:tcW w:w="673" w:type="pct"/>
            <w:tcBorders>
              <w:top w:val="single" w:sz="8" w:space="0" w:color="auto"/>
              <w:left w:val="nil"/>
              <w:bottom w:val="single" w:sz="8" w:space="0" w:color="auto"/>
              <w:right w:val="single" w:sz="8" w:space="0" w:color="auto"/>
            </w:tcBorders>
          </w:tcPr>
          <w:p w:rsidR="007B2470" w:rsidRPr="009073FC" w:rsidRDefault="007B2470" w:rsidP="007B2470">
            <w:pPr>
              <w:spacing w:before="50" w:afterLines="50" w:after="156"/>
              <w:ind w:rightChars="20" w:right="42"/>
              <w:jc w:val="center"/>
            </w:pPr>
            <w:r>
              <w:rPr>
                <w:rFonts w:hint="eastAsia"/>
              </w:rPr>
              <w:t>备注</w:t>
            </w:r>
          </w:p>
        </w:tc>
      </w:tr>
      <w:tr w:rsidR="007B2470" w:rsidRPr="009073FC" w:rsidTr="0082793D">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7B2470">
            <w:pPr>
              <w:spacing w:before="50" w:afterLines="50" w:after="156"/>
              <w:ind w:rightChars="20" w:right="42"/>
              <w:jc w:val="center"/>
              <w:rPr>
                <w:rFonts w:ascii="Arial" w:hAnsi="Arial" w:cs="Arial"/>
                <w:szCs w:val="21"/>
              </w:rPr>
            </w:pPr>
            <w:r w:rsidRPr="009073FC">
              <w:t>1</w:t>
            </w:r>
          </w:p>
        </w:tc>
        <w:tc>
          <w:tcPr>
            <w:tcW w:w="5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rPr>
                <w:rFonts w:ascii="Arial" w:hAnsi="Arial" w:cs="Arial"/>
                <w:szCs w:val="21"/>
              </w:rPr>
            </w:pPr>
            <w:r w:rsidRPr="009073FC">
              <w:rPr>
                <w:rFonts w:ascii="宋体" w:hAnsi="宋体" w:hint="eastAsia"/>
              </w:rPr>
              <w:t>原料采购</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hint="eastAsia"/>
              </w:rPr>
              <w:t>新疆恒孚棉产业集团</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6</w:t>
            </w:r>
            <w:r w:rsidRPr="009073FC">
              <w:rPr>
                <w:rFonts w:ascii="Arial" w:hAnsi="Arial" w:cs="Arial" w:hint="eastAsia"/>
                <w:szCs w:val="21"/>
              </w:rPr>
              <w:t>亿</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6</w:t>
            </w:r>
            <w:r w:rsidRPr="009073FC">
              <w:rPr>
                <w:rFonts w:ascii="Arial" w:hAnsi="Arial" w:cs="Arial" w:hint="eastAsia"/>
                <w:szCs w:val="21"/>
              </w:rPr>
              <w:t>亿</w:t>
            </w:r>
          </w:p>
        </w:tc>
        <w:tc>
          <w:tcPr>
            <w:tcW w:w="7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pPr>
            <w:r w:rsidRPr="009073FC">
              <w:rPr>
                <w:rFonts w:hint="eastAsia"/>
              </w:rPr>
              <w:t>24110</w:t>
            </w:r>
            <w:r w:rsidRPr="009073FC">
              <w:rPr>
                <w:rFonts w:hint="eastAsia"/>
              </w:rPr>
              <w:t>万</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pPr>
            <w:r w:rsidRPr="009073FC">
              <w:rPr>
                <w:rFonts w:hint="eastAsia"/>
              </w:rPr>
              <w:t>6.12%</w:t>
            </w:r>
          </w:p>
        </w:tc>
        <w:tc>
          <w:tcPr>
            <w:tcW w:w="673" w:type="pct"/>
            <w:tcBorders>
              <w:top w:val="nil"/>
              <w:left w:val="nil"/>
              <w:bottom w:val="single" w:sz="8" w:space="0" w:color="auto"/>
              <w:right w:val="single" w:sz="8" w:space="0" w:color="auto"/>
            </w:tcBorders>
          </w:tcPr>
          <w:p w:rsidR="007B2470" w:rsidRPr="009073FC" w:rsidRDefault="007B2470" w:rsidP="007B2470">
            <w:pPr>
              <w:spacing w:before="50" w:afterLines="50" w:after="156"/>
              <w:ind w:rightChars="20" w:right="42"/>
              <w:jc w:val="center"/>
            </w:pPr>
          </w:p>
        </w:tc>
      </w:tr>
      <w:tr w:rsidR="007B2470" w:rsidRPr="009073FC" w:rsidTr="0082793D">
        <w:trPr>
          <w:trHeight w:val="599"/>
        </w:trPr>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7B2470">
            <w:pPr>
              <w:spacing w:before="50" w:afterLines="50" w:after="156"/>
              <w:ind w:rightChars="20" w:right="42"/>
              <w:jc w:val="center"/>
              <w:rPr>
                <w:rFonts w:ascii="Arial" w:hAnsi="Arial" w:cs="Arial"/>
                <w:szCs w:val="21"/>
              </w:rPr>
            </w:pPr>
            <w:r w:rsidRPr="009073FC">
              <w:t>2</w:t>
            </w:r>
          </w:p>
        </w:tc>
        <w:tc>
          <w:tcPr>
            <w:tcW w:w="5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rPr>
                <w:rFonts w:ascii="Arial" w:hAnsi="Arial" w:cs="Arial"/>
                <w:szCs w:val="21"/>
              </w:rPr>
            </w:pPr>
            <w:r w:rsidRPr="009073FC">
              <w:rPr>
                <w:rFonts w:ascii="宋体" w:hAnsi="宋体" w:hint="eastAsia"/>
              </w:rPr>
              <w:t>租赁费</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宋体" w:hAnsi="宋体" w:cs="Arial"/>
                <w:szCs w:val="21"/>
              </w:rPr>
            </w:pPr>
            <w:r w:rsidRPr="009073FC">
              <w:rPr>
                <w:rFonts w:ascii="宋体" w:hAnsi="宋体" w:hint="eastAsia"/>
              </w:rPr>
              <w:t>余姚华联</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100</w:t>
            </w:r>
            <w:r w:rsidRPr="009073FC">
              <w:rPr>
                <w:rFonts w:ascii="Arial" w:hAnsi="Arial" w:cs="Arial" w:hint="eastAsia"/>
                <w:szCs w:val="21"/>
              </w:rPr>
              <w:t>万</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100</w:t>
            </w:r>
            <w:r w:rsidRPr="009073FC">
              <w:rPr>
                <w:rFonts w:ascii="Arial" w:hAnsi="Arial" w:cs="Arial" w:hint="eastAsia"/>
                <w:szCs w:val="21"/>
              </w:rPr>
              <w:t>万</w:t>
            </w:r>
          </w:p>
        </w:tc>
        <w:tc>
          <w:tcPr>
            <w:tcW w:w="7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pPr>
            <w:r w:rsidRPr="009073FC">
              <w:rPr>
                <w:rFonts w:hint="eastAsia"/>
              </w:rPr>
              <w:t>100</w:t>
            </w:r>
            <w:r w:rsidRPr="009073FC">
              <w:rPr>
                <w:rFonts w:hint="eastAsia"/>
              </w:rPr>
              <w:t>万</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503F36">
            <w:pPr>
              <w:spacing w:before="50" w:afterLines="50" w:after="156"/>
              <w:ind w:rightChars="20" w:right="42"/>
              <w:jc w:val="center"/>
            </w:pPr>
          </w:p>
        </w:tc>
        <w:tc>
          <w:tcPr>
            <w:tcW w:w="673" w:type="pct"/>
            <w:tcBorders>
              <w:top w:val="nil"/>
              <w:left w:val="nil"/>
              <w:bottom w:val="single" w:sz="8" w:space="0" w:color="auto"/>
              <w:right w:val="single" w:sz="8" w:space="0" w:color="auto"/>
            </w:tcBorders>
          </w:tcPr>
          <w:p w:rsidR="007B2470" w:rsidRPr="009073FC" w:rsidRDefault="007B2470" w:rsidP="007B2470">
            <w:pPr>
              <w:spacing w:before="50" w:afterLines="50" w:after="156"/>
              <w:ind w:rightChars="20" w:right="42"/>
              <w:jc w:val="center"/>
            </w:pPr>
          </w:p>
        </w:tc>
      </w:tr>
      <w:tr w:rsidR="007B2470" w:rsidRPr="009073FC" w:rsidTr="0082793D">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7B2470">
            <w:pPr>
              <w:spacing w:before="50" w:afterLines="50" w:after="156"/>
              <w:ind w:rightChars="20" w:right="42"/>
              <w:jc w:val="center"/>
              <w:rPr>
                <w:rFonts w:ascii="Arial" w:hAnsi="Arial" w:cs="Arial"/>
                <w:szCs w:val="21"/>
              </w:rPr>
            </w:pPr>
            <w:r w:rsidRPr="009073FC">
              <w:t>3</w:t>
            </w:r>
          </w:p>
        </w:tc>
        <w:tc>
          <w:tcPr>
            <w:tcW w:w="53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rPr>
                <w:rFonts w:ascii="Arial" w:hAnsi="Arial" w:cs="Arial"/>
                <w:szCs w:val="21"/>
              </w:rPr>
            </w:pPr>
            <w:r w:rsidRPr="009073FC">
              <w:rPr>
                <w:rFonts w:ascii="宋体" w:hAnsi="宋体" w:hint="eastAsia"/>
              </w:rPr>
              <w:t>租赁费</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宋体" w:hAnsi="宋体" w:cs="Arial"/>
                <w:szCs w:val="21"/>
              </w:rPr>
            </w:pPr>
            <w:r w:rsidRPr="009073FC">
              <w:rPr>
                <w:rFonts w:ascii="宋体" w:hAnsi="宋体" w:hint="eastAsia"/>
              </w:rPr>
              <w:t>宁海华联</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350</w:t>
            </w:r>
            <w:r w:rsidRPr="009073FC">
              <w:rPr>
                <w:rFonts w:ascii="Arial" w:hAnsi="Arial" w:cs="Arial" w:hint="eastAsia"/>
                <w:szCs w:val="21"/>
              </w:rPr>
              <w:t>万</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Arial" w:hAnsi="Arial" w:cs="Arial" w:hint="eastAsia"/>
                <w:szCs w:val="21"/>
              </w:rPr>
              <w:t>350</w:t>
            </w:r>
            <w:r w:rsidRPr="009073FC">
              <w:rPr>
                <w:rFonts w:ascii="Arial" w:hAnsi="Arial" w:cs="Arial" w:hint="eastAsia"/>
                <w:szCs w:val="21"/>
              </w:rPr>
              <w:t>万</w:t>
            </w:r>
          </w:p>
        </w:tc>
        <w:tc>
          <w:tcPr>
            <w:tcW w:w="7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pPr>
            <w:r w:rsidRPr="009073FC">
              <w:rPr>
                <w:rFonts w:hint="eastAsia"/>
              </w:rPr>
              <w:t>350</w:t>
            </w:r>
            <w:r w:rsidRPr="009073FC">
              <w:rPr>
                <w:rFonts w:hint="eastAsia"/>
              </w:rPr>
              <w:t>万</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503F36">
            <w:pPr>
              <w:spacing w:before="50" w:afterLines="50" w:after="156"/>
              <w:ind w:rightChars="20" w:right="42"/>
              <w:jc w:val="center"/>
            </w:pPr>
          </w:p>
        </w:tc>
        <w:tc>
          <w:tcPr>
            <w:tcW w:w="673" w:type="pct"/>
            <w:tcBorders>
              <w:top w:val="nil"/>
              <w:left w:val="nil"/>
              <w:bottom w:val="single" w:sz="8" w:space="0" w:color="auto"/>
              <w:right w:val="single" w:sz="8" w:space="0" w:color="auto"/>
            </w:tcBorders>
          </w:tcPr>
          <w:p w:rsidR="007B2470" w:rsidRPr="009073FC" w:rsidRDefault="007B2470" w:rsidP="007B2470">
            <w:pPr>
              <w:spacing w:before="50" w:afterLines="50" w:after="156"/>
              <w:ind w:rightChars="20" w:right="42"/>
              <w:jc w:val="center"/>
            </w:pPr>
          </w:p>
        </w:tc>
      </w:tr>
      <w:tr w:rsidR="007B2470" w:rsidRPr="009073FC" w:rsidTr="0082793D">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7B2470">
            <w:pPr>
              <w:spacing w:before="50" w:afterLines="50" w:after="156"/>
              <w:ind w:rightChars="20" w:right="42"/>
              <w:jc w:val="center"/>
            </w:pPr>
            <w:r>
              <w:rPr>
                <w:rFonts w:hint="eastAsia"/>
              </w:rPr>
              <w:t>4</w:t>
            </w:r>
          </w:p>
        </w:tc>
        <w:tc>
          <w:tcPr>
            <w:tcW w:w="536"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503F36">
            <w:pPr>
              <w:spacing w:before="50" w:afterLines="50" w:after="156"/>
              <w:ind w:rightChars="20" w:right="42"/>
              <w:rPr>
                <w:rFonts w:ascii="宋体" w:hAnsi="宋体"/>
              </w:rPr>
            </w:pPr>
            <w:r>
              <w:rPr>
                <w:rFonts w:ascii="宋体" w:hAnsi="宋体" w:hint="eastAsia"/>
              </w:rPr>
              <w:t>原料销售</w:t>
            </w:r>
          </w:p>
        </w:tc>
        <w:tc>
          <w:tcPr>
            <w:tcW w:w="665"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7B2470">
            <w:pPr>
              <w:spacing w:before="50" w:afterLines="50" w:after="156"/>
              <w:ind w:rightChars="20" w:right="42"/>
              <w:jc w:val="center"/>
              <w:rPr>
                <w:rFonts w:ascii="宋体" w:hAnsi="宋体"/>
              </w:rPr>
            </w:pPr>
            <w:r w:rsidRPr="009073FC">
              <w:rPr>
                <w:rFonts w:ascii="Arial" w:hAnsi="Arial" w:hint="eastAsia"/>
              </w:rPr>
              <w:t>新疆恒孚棉产业集团</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FB76EC" w:rsidP="00503F36">
            <w:pPr>
              <w:spacing w:before="50" w:afterLines="50" w:after="156"/>
              <w:ind w:rightChars="20" w:right="42"/>
              <w:jc w:val="center"/>
              <w:rPr>
                <w:rFonts w:ascii="Arial" w:hAnsi="Arial" w:cs="Arial"/>
                <w:szCs w:val="21"/>
              </w:rPr>
            </w:pPr>
            <w:r>
              <w:rPr>
                <w:rFonts w:ascii="Arial" w:hAnsi="Arial" w:cs="Arial" w:hint="eastAsia"/>
                <w:szCs w:val="21"/>
              </w:rPr>
              <w:t>6857</w:t>
            </w:r>
            <w:r>
              <w:rPr>
                <w:rFonts w:ascii="Arial" w:hAnsi="Arial" w:cs="Arial" w:hint="eastAsia"/>
                <w:szCs w:val="21"/>
              </w:rPr>
              <w:t>万</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FB76EC" w:rsidP="006036A9">
            <w:pPr>
              <w:spacing w:before="50" w:afterLines="50" w:after="156"/>
              <w:ind w:rightChars="20" w:right="42"/>
              <w:jc w:val="center"/>
              <w:rPr>
                <w:rFonts w:ascii="Arial" w:hAnsi="Arial" w:cs="Arial"/>
                <w:szCs w:val="21"/>
              </w:rPr>
            </w:pPr>
            <w:r>
              <w:rPr>
                <w:rFonts w:ascii="Arial" w:hAnsi="Arial" w:cs="Arial" w:hint="eastAsia"/>
                <w:szCs w:val="21"/>
              </w:rPr>
              <w:t>685</w:t>
            </w:r>
            <w:r w:rsidR="006036A9">
              <w:rPr>
                <w:rFonts w:ascii="Arial" w:hAnsi="Arial" w:cs="Arial" w:hint="eastAsia"/>
                <w:szCs w:val="21"/>
              </w:rPr>
              <w:t>7</w:t>
            </w:r>
            <w:r>
              <w:rPr>
                <w:rFonts w:ascii="Arial" w:hAnsi="Arial" w:cs="Arial" w:hint="eastAsia"/>
                <w:szCs w:val="21"/>
              </w:rPr>
              <w:t>万</w:t>
            </w:r>
          </w:p>
        </w:tc>
        <w:tc>
          <w:tcPr>
            <w:tcW w:w="720"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250E0B" w:rsidP="006036A9">
            <w:pPr>
              <w:spacing w:before="50" w:afterLines="50" w:after="156"/>
              <w:ind w:rightChars="20" w:right="42"/>
              <w:jc w:val="center"/>
            </w:pPr>
            <w:r>
              <w:rPr>
                <w:rFonts w:hint="eastAsia"/>
              </w:rPr>
              <w:t>0</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503F36">
            <w:pPr>
              <w:spacing w:before="50" w:afterLines="50" w:after="156"/>
              <w:ind w:rightChars="20" w:right="42"/>
              <w:jc w:val="center"/>
            </w:pPr>
          </w:p>
        </w:tc>
        <w:tc>
          <w:tcPr>
            <w:tcW w:w="673" w:type="pct"/>
            <w:tcBorders>
              <w:top w:val="nil"/>
              <w:left w:val="nil"/>
              <w:bottom w:val="single" w:sz="8" w:space="0" w:color="auto"/>
              <w:right w:val="single" w:sz="8" w:space="0" w:color="auto"/>
            </w:tcBorders>
          </w:tcPr>
          <w:p w:rsidR="007B2470" w:rsidRPr="009073FC" w:rsidRDefault="00AB3D44" w:rsidP="007B2470">
            <w:pPr>
              <w:spacing w:before="50" w:afterLines="50" w:after="156"/>
              <w:ind w:rightChars="20" w:right="42"/>
            </w:pPr>
            <w:r w:rsidRPr="00AB3D44">
              <w:rPr>
                <w:rFonts w:hint="eastAsia"/>
              </w:rPr>
              <w:t>由于库车恒丰、库车纵横、库车银花、新疆华孚恒丰轧花厂委托给上市公司经营，因此产生交接清账而发生的关联交易。</w:t>
            </w:r>
          </w:p>
        </w:tc>
        <w:bookmarkStart w:id="0" w:name="_GoBack"/>
        <w:bookmarkEnd w:id="0"/>
      </w:tr>
      <w:tr w:rsidR="007B2470" w:rsidRPr="009073FC" w:rsidTr="0082793D">
        <w:tc>
          <w:tcPr>
            <w:tcW w:w="27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7B2470">
            <w:pPr>
              <w:spacing w:before="50" w:afterLines="50" w:after="156"/>
              <w:ind w:rightChars="20" w:right="42"/>
              <w:jc w:val="center"/>
              <w:rPr>
                <w:rFonts w:ascii="Arial" w:hAnsi="Arial" w:cs="Arial"/>
                <w:szCs w:val="21"/>
              </w:rPr>
            </w:pPr>
          </w:p>
        </w:tc>
        <w:tc>
          <w:tcPr>
            <w:tcW w:w="120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9073FC" w:rsidRDefault="007B2470" w:rsidP="00503F36">
            <w:pPr>
              <w:spacing w:before="50" w:afterLines="50" w:after="156"/>
              <w:ind w:rightChars="20" w:right="42"/>
              <w:jc w:val="center"/>
              <w:rPr>
                <w:rFonts w:ascii="Arial" w:hAnsi="Arial" w:cs="Arial"/>
                <w:szCs w:val="21"/>
              </w:rPr>
            </w:pPr>
            <w:r w:rsidRPr="009073FC">
              <w:rPr>
                <w:rFonts w:ascii="宋体" w:hAnsi="宋体" w:hint="eastAsia"/>
              </w:rPr>
              <w:t>总计</w:t>
            </w:r>
          </w:p>
        </w:tc>
        <w:tc>
          <w:tcPr>
            <w:tcW w:w="8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697973" w:rsidRDefault="00697973" w:rsidP="00503F36">
            <w:pPr>
              <w:spacing w:before="50" w:afterLines="50" w:after="156"/>
              <w:ind w:rightChars="20" w:right="42"/>
              <w:jc w:val="center"/>
              <w:rPr>
                <w:rFonts w:ascii="Arial" w:hAnsi="Arial" w:cs="Arial"/>
                <w:szCs w:val="21"/>
              </w:rPr>
            </w:pPr>
            <w:r w:rsidRPr="00697973">
              <w:rPr>
                <w:rFonts w:ascii="Arial" w:hAnsi="Arial" w:cs="Arial" w:hint="eastAsia"/>
                <w:szCs w:val="21"/>
              </w:rPr>
              <w:t>67307</w:t>
            </w:r>
            <w:r w:rsidR="007B2470" w:rsidRPr="00697973">
              <w:rPr>
                <w:rFonts w:ascii="Arial" w:hAnsi="Arial" w:cs="Arial" w:hint="eastAsia"/>
                <w:szCs w:val="21"/>
              </w:rPr>
              <w:t>万</w:t>
            </w:r>
          </w:p>
        </w:tc>
        <w:tc>
          <w:tcPr>
            <w:tcW w:w="64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697973" w:rsidRDefault="00697973" w:rsidP="00503F36">
            <w:pPr>
              <w:spacing w:before="50" w:afterLines="50" w:after="156"/>
              <w:ind w:rightChars="20" w:right="42"/>
              <w:jc w:val="center"/>
              <w:rPr>
                <w:rFonts w:ascii="Arial" w:hAnsi="Arial" w:cs="Arial"/>
                <w:szCs w:val="21"/>
              </w:rPr>
            </w:pPr>
            <w:r w:rsidRPr="00697973">
              <w:rPr>
                <w:rFonts w:ascii="Arial" w:hAnsi="Arial" w:cs="Arial" w:hint="eastAsia"/>
                <w:szCs w:val="21"/>
              </w:rPr>
              <w:t>67307</w:t>
            </w:r>
            <w:r w:rsidR="007B2470" w:rsidRPr="00697973">
              <w:rPr>
                <w:rFonts w:ascii="Arial" w:hAnsi="Arial" w:cs="Arial" w:hint="eastAsia"/>
                <w:szCs w:val="21"/>
              </w:rPr>
              <w:t>万</w:t>
            </w:r>
          </w:p>
        </w:tc>
        <w:tc>
          <w:tcPr>
            <w:tcW w:w="7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B2470" w:rsidRPr="00697973" w:rsidRDefault="00250E0B" w:rsidP="00503F36">
            <w:pPr>
              <w:spacing w:before="50" w:afterLines="50" w:after="156"/>
              <w:ind w:rightChars="20" w:right="42"/>
              <w:jc w:val="center"/>
            </w:pPr>
            <w:r>
              <w:rPr>
                <w:rFonts w:ascii="Arial" w:hAnsi="Arial" w:cs="Arial" w:hint="eastAsia"/>
                <w:szCs w:val="21"/>
              </w:rPr>
              <w:t>24560</w:t>
            </w:r>
            <w:r w:rsidR="007B2470" w:rsidRPr="00697973">
              <w:rPr>
                <w:rFonts w:ascii="Arial" w:hAnsi="Arial" w:cs="Arial" w:hint="eastAsia"/>
                <w:szCs w:val="21"/>
              </w:rPr>
              <w:t>万</w:t>
            </w:r>
          </w:p>
        </w:tc>
        <w:tc>
          <w:tcPr>
            <w:tcW w:w="673" w:type="pct"/>
            <w:tcBorders>
              <w:top w:val="nil"/>
              <w:left w:val="nil"/>
              <w:bottom w:val="single" w:sz="8" w:space="0" w:color="auto"/>
              <w:right w:val="single" w:sz="8" w:space="0" w:color="auto"/>
            </w:tcBorders>
            <w:tcMar>
              <w:top w:w="0" w:type="dxa"/>
              <w:left w:w="108" w:type="dxa"/>
              <w:bottom w:w="0" w:type="dxa"/>
              <w:right w:w="108" w:type="dxa"/>
            </w:tcMar>
            <w:vAlign w:val="center"/>
          </w:tcPr>
          <w:p w:rsidR="007B2470" w:rsidRPr="009073FC" w:rsidRDefault="007B2470" w:rsidP="00503F36">
            <w:pPr>
              <w:spacing w:before="50" w:afterLines="50" w:after="156"/>
              <w:ind w:rightChars="20" w:right="42"/>
              <w:jc w:val="center"/>
              <w:rPr>
                <w:rFonts w:ascii="Arial" w:hAnsi="Arial" w:cs="Arial"/>
                <w:szCs w:val="21"/>
              </w:rPr>
            </w:pPr>
          </w:p>
        </w:tc>
        <w:tc>
          <w:tcPr>
            <w:tcW w:w="673" w:type="pct"/>
            <w:tcBorders>
              <w:top w:val="nil"/>
              <w:left w:val="nil"/>
              <w:bottom w:val="single" w:sz="8" w:space="0" w:color="auto"/>
              <w:right w:val="single" w:sz="8" w:space="0" w:color="auto"/>
            </w:tcBorders>
          </w:tcPr>
          <w:p w:rsidR="007B2470" w:rsidRPr="009073FC" w:rsidRDefault="007B2470" w:rsidP="007B2470">
            <w:pPr>
              <w:spacing w:before="50" w:afterLines="50" w:after="156"/>
              <w:ind w:rightChars="20" w:right="42"/>
              <w:jc w:val="center"/>
              <w:rPr>
                <w:rFonts w:ascii="Arial" w:hAnsi="Arial" w:cs="Arial"/>
                <w:szCs w:val="21"/>
              </w:rPr>
            </w:pPr>
          </w:p>
        </w:tc>
      </w:tr>
    </w:tbl>
    <w:p w:rsidR="00844CF3" w:rsidRPr="0038741E" w:rsidRDefault="00844CF3" w:rsidP="00844CF3">
      <w:pPr>
        <w:spacing w:line="360" w:lineRule="auto"/>
        <w:ind w:rightChars="20" w:right="42" w:firstLineChars="192" w:firstLine="461"/>
        <w:rPr>
          <w:color w:val="000000"/>
          <w:kern w:val="0"/>
          <w:sz w:val="24"/>
        </w:rPr>
      </w:pPr>
      <w:r w:rsidRPr="0038741E">
        <w:rPr>
          <w:color w:val="000000"/>
          <w:kern w:val="0"/>
          <w:sz w:val="24"/>
        </w:rPr>
        <w:t>上述关联交易经公司第</w:t>
      </w:r>
      <w:r>
        <w:rPr>
          <w:rFonts w:hint="eastAsia"/>
          <w:color w:val="000000"/>
          <w:kern w:val="0"/>
          <w:sz w:val="24"/>
        </w:rPr>
        <w:t>六</w:t>
      </w:r>
      <w:r w:rsidRPr="0038741E">
        <w:rPr>
          <w:color w:val="000000"/>
          <w:kern w:val="0"/>
          <w:sz w:val="24"/>
        </w:rPr>
        <w:t>届董事会第</w:t>
      </w:r>
      <w:r w:rsidR="009073FC">
        <w:rPr>
          <w:rFonts w:hint="eastAsia"/>
          <w:color w:val="000000"/>
          <w:kern w:val="0"/>
          <w:sz w:val="24"/>
        </w:rPr>
        <w:t>七</w:t>
      </w:r>
      <w:r w:rsidRPr="0038741E">
        <w:rPr>
          <w:color w:val="000000"/>
          <w:kern w:val="0"/>
          <w:sz w:val="24"/>
        </w:rPr>
        <w:t>次会议审议，由非关联方董事以</w:t>
      </w:r>
      <w:r>
        <w:rPr>
          <w:rFonts w:hint="eastAsia"/>
          <w:color w:val="000000"/>
          <w:kern w:val="0"/>
          <w:sz w:val="24"/>
        </w:rPr>
        <w:t>5</w:t>
      </w:r>
      <w:r w:rsidRPr="0038741E">
        <w:rPr>
          <w:color w:val="000000"/>
          <w:kern w:val="0"/>
          <w:sz w:val="24"/>
        </w:rPr>
        <w:t>票赞成、</w:t>
      </w:r>
      <w:r w:rsidRPr="0038741E">
        <w:rPr>
          <w:color w:val="000000"/>
          <w:kern w:val="0"/>
          <w:sz w:val="24"/>
        </w:rPr>
        <w:t>0</w:t>
      </w:r>
      <w:r w:rsidRPr="0038741E">
        <w:rPr>
          <w:color w:val="000000"/>
          <w:kern w:val="0"/>
          <w:sz w:val="24"/>
        </w:rPr>
        <w:t>票反对、</w:t>
      </w:r>
      <w:r w:rsidRPr="0038741E">
        <w:rPr>
          <w:color w:val="000000"/>
          <w:kern w:val="0"/>
          <w:sz w:val="24"/>
        </w:rPr>
        <w:t>0</w:t>
      </w:r>
      <w:r w:rsidRPr="0038741E">
        <w:rPr>
          <w:color w:val="000000"/>
          <w:kern w:val="0"/>
          <w:sz w:val="24"/>
        </w:rPr>
        <w:t>票弃权的</w:t>
      </w:r>
      <w:r>
        <w:rPr>
          <w:color w:val="000000"/>
          <w:kern w:val="0"/>
          <w:sz w:val="24"/>
        </w:rPr>
        <w:t>表决结果通过，关联董事孙伟挺先生、陈玲芬女士、张际松先生、</w:t>
      </w:r>
      <w:r>
        <w:rPr>
          <w:rFonts w:hint="eastAsia"/>
          <w:color w:val="000000"/>
          <w:kern w:val="0"/>
          <w:sz w:val="24"/>
        </w:rPr>
        <w:t>孙小挺</w:t>
      </w:r>
      <w:r w:rsidRPr="0038741E">
        <w:rPr>
          <w:color w:val="000000"/>
          <w:kern w:val="0"/>
          <w:sz w:val="24"/>
        </w:rPr>
        <w:t>先生回避表决该议案。</w:t>
      </w:r>
    </w:p>
    <w:p w:rsidR="00844CF3" w:rsidRPr="0038741E" w:rsidRDefault="00844CF3" w:rsidP="00844CF3">
      <w:pPr>
        <w:spacing w:line="360" w:lineRule="auto"/>
        <w:ind w:rightChars="20" w:right="42" w:firstLineChars="192" w:firstLine="461"/>
        <w:rPr>
          <w:color w:val="000000"/>
          <w:kern w:val="0"/>
          <w:sz w:val="24"/>
        </w:rPr>
      </w:pPr>
      <w:r w:rsidRPr="0038741E">
        <w:rPr>
          <w:color w:val="000000"/>
          <w:kern w:val="0"/>
          <w:sz w:val="24"/>
        </w:rPr>
        <w:t>此次关联交易尚需经</w:t>
      </w:r>
      <w:r w:rsidRPr="0038741E">
        <w:rPr>
          <w:color w:val="000000"/>
          <w:kern w:val="0"/>
          <w:sz w:val="24"/>
        </w:rPr>
        <w:t>201</w:t>
      </w:r>
      <w:r w:rsidR="00E453C9">
        <w:rPr>
          <w:rFonts w:hint="eastAsia"/>
          <w:color w:val="000000"/>
          <w:kern w:val="0"/>
          <w:sz w:val="24"/>
        </w:rPr>
        <w:t>6</w:t>
      </w:r>
      <w:r w:rsidRPr="0038741E">
        <w:rPr>
          <w:color w:val="000000"/>
          <w:kern w:val="0"/>
          <w:sz w:val="24"/>
        </w:rPr>
        <w:t>年度股东大会审议，与该关联交易有利益关系的关联人将回避表决。</w:t>
      </w:r>
    </w:p>
    <w:p w:rsidR="00844CF3" w:rsidRPr="0038741E" w:rsidRDefault="00844CF3" w:rsidP="00844CF3">
      <w:pPr>
        <w:autoSpaceDE w:val="0"/>
        <w:autoSpaceDN w:val="0"/>
        <w:adjustRightInd w:val="0"/>
        <w:spacing w:before="50" w:afterLines="50" w:after="156" w:line="400" w:lineRule="exact"/>
        <w:ind w:rightChars="20" w:right="42" w:firstLineChars="200" w:firstLine="482"/>
        <w:jc w:val="left"/>
        <w:outlineLvl w:val="0"/>
        <w:rPr>
          <w:b/>
          <w:color w:val="000000"/>
          <w:sz w:val="24"/>
        </w:rPr>
      </w:pPr>
      <w:r w:rsidRPr="0038741E">
        <w:rPr>
          <w:b/>
          <w:color w:val="000000"/>
          <w:sz w:val="24"/>
        </w:rPr>
        <w:lastRenderedPageBreak/>
        <w:t>二、关联</w:t>
      </w:r>
      <w:proofErr w:type="gramStart"/>
      <w:r w:rsidRPr="0038741E">
        <w:rPr>
          <w:b/>
          <w:color w:val="000000"/>
          <w:sz w:val="24"/>
        </w:rPr>
        <w:t>方情况</w:t>
      </w:r>
      <w:proofErr w:type="gramEnd"/>
      <w:r w:rsidRPr="0038741E">
        <w:rPr>
          <w:b/>
          <w:color w:val="000000"/>
          <w:sz w:val="24"/>
        </w:rPr>
        <w:t>介绍和关联关系</w:t>
      </w:r>
    </w:p>
    <w:p w:rsidR="00844CF3" w:rsidRPr="0038741E" w:rsidRDefault="00844CF3" w:rsidP="00844CF3">
      <w:pPr>
        <w:autoSpaceDE w:val="0"/>
        <w:autoSpaceDN w:val="0"/>
        <w:adjustRightInd w:val="0"/>
        <w:spacing w:before="50" w:afterLines="50" w:after="156" w:line="400" w:lineRule="exact"/>
        <w:ind w:rightChars="20" w:right="42" w:firstLineChars="196" w:firstLine="472"/>
        <w:jc w:val="left"/>
        <w:outlineLvl w:val="0"/>
        <w:rPr>
          <w:b/>
          <w:color w:val="000000"/>
          <w:sz w:val="24"/>
        </w:rPr>
      </w:pPr>
      <w:r w:rsidRPr="0038741E">
        <w:rPr>
          <w:b/>
          <w:color w:val="000000"/>
          <w:sz w:val="24"/>
        </w:rPr>
        <w:t>1</w:t>
      </w:r>
      <w:r w:rsidRPr="0038741E">
        <w:rPr>
          <w:b/>
          <w:color w:val="000000"/>
          <w:sz w:val="24"/>
        </w:rPr>
        <w:t>、关联</w:t>
      </w:r>
      <w:proofErr w:type="gramStart"/>
      <w:r w:rsidRPr="0038741E">
        <w:rPr>
          <w:b/>
          <w:color w:val="000000"/>
          <w:sz w:val="24"/>
        </w:rPr>
        <w:t>方情况</w:t>
      </w:r>
      <w:proofErr w:type="gramEnd"/>
      <w:r w:rsidRPr="0038741E">
        <w:rPr>
          <w:b/>
          <w:color w:val="000000"/>
          <w:sz w:val="24"/>
        </w:rPr>
        <w:t>介绍</w:t>
      </w:r>
    </w:p>
    <w:p w:rsidR="00844CF3" w:rsidRPr="0038741E" w:rsidRDefault="00844CF3" w:rsidP="00C80767">
      <w:pPr>
        <w:wordWrap w:val="0"/>
        <w:spacing w:line="360" w:lineRule="auto"/>
        <w:ind w:rightChars="20" w:right="42" w:firstLineChars="192" w:firstLine="461"/>
        <w:rPr>
          <w:color w:val="000000"/>
          <w:sz w:val="24"/>
        </w:rPr>
      </w:pPr>
      <w:r w:rsidRPr="0038741E">
        <w:rPr>
          <w:color w:val="000000"/>
          <w:sz w:val="24"/>
        </w:rPr>
        <w:t>1</w:t>
      </w:r>
      <w:r w:rsidRPr="0038741E">
        <w:rPr>
          <w:color w:val="000000"/>
          <w:sz w:val="24"/>
        </w:rPr>
        <w:t>）</w:t>
      </w:r>
      <w:r w:rsidRPr="0038741E">
        <w:rPr>
          <w:color w:val="000000"/>
          <w:kern w:val="0"/>
          <w:sz w:val="24"/>
        </w:rPr>
        <w:t>新疆恒孚棉产业集团有限公司</w:t>
      </w:r>
      <w:r w:rsidR="00373F5F">
        <w:rPr>
          <w:rFonts w:hint="eastAsia"/>
          <w:color w:val="000000"/>
          <w:kern w:val="0"/>
          <w:sz w:val="24"/>
        </w:rPr>
        <w:t>：</w:t>
      </w:r>
      <w:r w:rsidR="00C80767">
        <w:rPr>
          <w:rFonts w:hint="eastAsia"/>
          <w:color w:val="000000"/>
          <w:kern w:val="0"/>
          <w:sz w:val="24"/>
        </w:rPr>
        <w:t>统一社会信用代码为</w:t>
      </w:r>
      <w:r w:rsidR="00BD6C29" w:rsidRPr="00BD6C29">
        <w:rPr>
          <w:rFonts w:hint="eastAsia"/>
          <w:color w:val="000000"/>
          <w:kern w:val="0"/>
          <w:sz w:val="24"/>
        </w:rPr>
        <w:t>91650100676336997R</w:t>
      </w:r>
      <w:r w:rsidR="00C80767">
        <w:rPr>
          <w:rFonts w:hint="eastAsia"/>
          <w:color w:val="000000"/>
          <w:kern w:val="0"/>
          <w:sz w:val="24"/>
        </w:rPr>
        <w:t>，</w:t>
      </w:r>
      <w:r w:rsidR="00373F5F" w:rsidRPr="00373F5F">
        <w:rPr>
          <w:rFonts w:hint="eastAsia"/>
          <w:color w:val="000000"/>
          <w:kern w:val="0"/>
          <w:sz w:val="24"/>
        </w:rPr>
        <w:t>法定代表人孙伟挺</w:t>
      </w:r>
      <w:r w:rsidR="00373F5F">
        <w:rPr>
          <w:rFonts w:hint="eastAsia"/>
          <w:color w:val="000000"/>
          <w:kern w:val="0"/>
          <w:sz w:val="24"/>
        </w:rPr>
        <w:t>，注册资本</w:t>
      </w:r>
      <w:r w:rsidR="00BD6C29">
        <w:rPr>
          <w:rFonts w:hint="eastAsia"/>
          <w:color w:val="000000"/>
          <w:kern w:val="0"/>
          <w:sz w:val="24"/>
        </w:rPr>
        <w:t>壹亿</w:t>
      </w:r>
      <w:r w:rsidR="00373F5F">
        <w:rPr>
          <w:rFonts w:hint="eastAsia"/>
          <w:color w:val="000000"/>
          <w:kern w:val="0"/>
          <w:sz w:val="24"/>
        </w:rPr>
        <w:t>元人民币，</w:t>
      </w:r>
      <w:r w:rsidRPr="0038741E">
        <w:rPr>
          <w:color w:val="000000"/>
          <w:kern w:val="0"/>
          <w:sz w:val="24"/>
        </w:rPr>
        <w:t>营业期至</w:t>
      </w:r>
      <w:r w:rsidR="00BD6C29" w:rsidRPr="00BD6C29">
        <w:rPr>
          <w:rFonts w:hint="eastAsia"/>
          <w:color w:val="000000"/>
          <w:kern w:val="0"/>
          <w:sz w:val="24"/>
        </w:rPr>
        <w:t>2028</w:t>
      </w:r>
      <w:r w:rsidR="00BD6C29" w:rsidRPr="00BD6C29">
        <w:rPr>
          <w:rFonts w:hint="eastAsia"/>
          <w:color w:val="000000"/>
          <w:kern w:val="0"/>
          <w:sz w:val="24"/>
        </w:rPr>
        <w:t>年</w:t>
      </w:r>
      <w:r w:rsidR="00BD6C29" w:rsidRPr="00BD6C29">
        <w:rPr>
          <w:rFonts w:hint="eastAsia"/>
          <w:color w:val="000000"/>
          <w:kern w:val="0"/>
          <w:sz w:val="24"/>
        </w:rPr>
        <w:t>08</w:t>
      </w:r>
      <w:r w:rsidR="00BD6C29" w:rsidRPr="00BD6C29">
        <w:rPr>
          <w:rFonts w:hint="eastAsia"/>
          <w:color w:val="000000"/>
          <w:kern w:val="0"/>
          <w:sz w:val="24"/>
        </w:rPr>
        <w:t>月</w:t>
      </w:r>
      <w:r w:rsidR="00BD6C29" w:rsidRPr="00BD6C29">
        <w:rPr>
          <w:rFonts w:hint="eastAsia"/>
          <w:color w:val="000000"/>
          <w:kern w:val="0"/>
          <w:sz w:val="24"/>
        </w:rPr>
        <w:t>01</w:t>
      </w:r>
      <w:r w:rsidR="00BD6C29" w:rsidRPr="00BD6C29">
        <w:rPr>
          <w:rFonts w:hint="eastAsia"/>
          <w:color w:val="000000"/>
          <w:kern w:val="0"/>
          <w:sz w:val="24"/>
        </w:rPr>
        <w:t>日</w:t>
      </w:r>
      <w:r w:rsidRPr="0038741E">
        <w:rPr>
          <w:color w:val="000000"/>
          <w:kern w:val="0"/>
          <w:sz w:val="24"/>
        </w:rPr>
        <w:t>。</w:t>
      </w:r>
      <w:r w:rsidR="00BD6C29" w:rsidRPr="00BD6C29">
        <w:rPr>
          <w:rFonts w:hint="eastAsia"/>
          <w:color w:val="000000"/>
          <w:kern w:val="0"/>
          <w:sz w:val="24"/>
        </w:rPr>
        <w:t>经营范围</w:t>
      </w:r>
      <w:r w:rsidR="00BD6C29">
        <w:rPr>
          <w:rFonts w:hint="eastAsia"/>
          <w:color w:val="000000"/>
          <w:kern w:val="0"/>
          <w:sz w:val="24"/>
        </w:rPr>
        <w:t>为</w:t>
      </w:r>
      <w:r w:rsidR="00BD6C29" w:rsidRPr="00BD6C29">
        <w:rPr>
          <w:rFonts w:hint="eastAsia"/>
          <w:color w:val="000000"/>
          <w:kern w:val="0"/>
          <w:sz w:val="24"/>
        </w:rPr>
        <w:t>棉</w:t>
      </w:r>
      <w:r w:rsidR="00BD6C29">
        <w:rPr>
          <w:rFonts w:hint="eastAsia"/>
          <w:color w:val="000000"/>
          <w:kern w:val="0"/>
          <w:sz w:val="24"/>
        </w:rPr>
        <w:t>花收购、销售；农作物种植；棉纱、棉布的生产、销售；投资兴办实业</w:t>
      </w:r>
      <w:r w:rsidR="00BD6C29" w:rsidRPr="00BD6C29">
        <w:rPr>
          <w:rFonts w:hint="eastAsia"/>
          <w:color w:val="000000"/>
          <w:kern w:val="0"/>
          <w:sz w:val="24"/>
        </w:rPr>
        <w:t>。住所：</w:t>
      </w:r>
      <w:r w:rsidR="00BD6C29" w:rsidRPr="00BD6C29">
        <w:rPr>
          <w:rFonts w:hint="eastAsia"/>
          <w:color w:val="000000"/>
          <w:kern w:val="0"/>
          <w:sz w:val="24"/>
        </w:rPr>
        <w:t xml:space="preserve"> </w:t>
      </w:r>
      <w:r w:rsidR="00BD6C29" w:rsidRPr="00BD6C29">
        <w:rPr>
          <w:rFonts w:hint="eastAsia"/>
          <w:color w:val="000000"/>
          <w:kern w:val="0"/>
          <w:sz w:val="24"/>
        </w:rPr>
        <w:t>新疆乌鲁木齐高新技术产业开发区（新市区）北京南路</w:t>
      </w:r>
      <w:r w:rsidR="00BD6C29" w:rsidRPr="00BD6C29">
        <w:rPr>
          <w:rFonts w:hint="eastAsia"/>
          <w:color w:val="000000"/>
          <w:kern w:val="0"/>
          <w:sz w:val="24"/>
        </w:rPr>
        <w:t>506</w:t>
      </w:r>
      <w:r w:rsidR="00BD6C29" w:rsidRPr="00BD6C29">
        <w:rPr>
          <w:rFonts w:hint="eastAsia"/>
          <w:color w:val="000000"/>
          <w:kern w:val="0"/>
          <w:sz w:val="24"/>
        </w:rPr>
        <w:t>号美克大厦九层</w:t>
      </w:r>
      <w:r w:rsidR="00BD6C29" w:rsidRPr="00BD6C29">
        <w:rPr>
          <w:rFonts w:hint="eastAsia"/>
          <w:color w:val="000000"/>
          <w:kern w:val="0"/>
          <w:sz w:val="24"/>
        </w:rPr>
        <w:t>901</w:t>
      </w:r>
      <w:r w:rsidR="00BD6C29" w:rsidRPr="00BD6C29">
        <w:rPr>
          <w:rFonts w:hint="eastAsia"/>
          <w:color w:val="000000"/>
          <w:kern w:val="0"/>
          <w:sz w:val="24"/>
        </w:rPr>
        <w:t>室</w:t>
      </w:r>
      <w:r w:rsidR="00BD6C29">
        <w:rPr>
          <w:rFonts w:hint="eastAsia"/>
          <w:color w:val="000000"/>
          <w:kern w:val="0"/>
          <w:sz w:val="24"/>
        </w:rPr>
        <w:t>。</w:t>
      </w:r>
    </w:p>
    <w:p w:rsidR="00844CF3" w:rsidRPr="0038741E" w:rsidRDefault="00844CF3" w:rsidP="00C80767">
      <w:pPr>
        <w:wordWrap w:val="0"/>
        <w:spacing w:line="360" w:lineRule="auto"/>
        <w:ind w:rightChars="20" w:right="42" w:firstLineChars="192" w:firstLine="461"/>
        <w:rPr>
          <w:color w:val="000000"/>
          <w:sz w:val="24"/>
        </w:rPr>
      </w:pPr>
      <w:r w:rsidRPr="0038741E">
        <w:rPr>
          <w:color w:val="000000"/>
          <w:sz w:val="24"/>
        </w:rPr>
        <w:t>2</w:t>
      </w:r>
      <w:r w:rsidRPr="0038741E">
        <w:rPr>
          <w:color w:val="000000"/>
          <w:sz w:val="24"/>
        </w:rPr>
        <w:t>）</w:t>
      </w:r>
      <w:r w:rsidRPr="0038741E">
        <w:rPr>
          <w:color w:val="000000"/>
          <w:kern w:val="0"/>
          <w:sz w:val="24"/>
        </w:rPr>
        <w:t>余姚华联纺织有限公司</w:t>
      </w:r>
      <w:r w:rsidR="00C80767">
        <w:rPr>
          <w:rFonts w:hint="eastAsia"/>
          <w:color w:val="000000"/>
          <w:kern w:val="0"/>
          <w:sz w:val="24"/>
        </w:rPr>
        <w:t>，</w:t>
      </w:r>
      <w:r w:rsidR="00373F5F" w:rsidRPr="00373F5F">
        <w:rPr>
          <w:rFonts w:hint="eastAsia"/>
          <w:color w:val="000000"/>
          <w:kern w:val="0"/>
          <w:sz w:val="24"/>
        </w:rPr>
        <w:t>统一社会信用代码</w:t>
      </w:r>
      <w:r w:rsidR="00C80767">
        <w:rPr>
          <w:rFonts w:hint="eastAsia"/>
          <w:color w:val="000000"/>
          <w:kern w:val="0"/>
          <w:sz w:val="24"/>
        </w:rPr>
        <w:t>为</w:t>
      </w:r>
      <w:r w:rsidR="00373F5F" w:rsidRPr="00373F5F">
        <w:rPr>
          <w:rFonts w:hint="eastAsia"/>
          <w:color w:val="000000"/>
          <w:kern w:val="0"/>
          <w:sz w:val="24"/>
        </w:rPr>
        <w:t>913302811445710567</w:t>
      </w:r>
      <w:r w:rsidR="00373F5F">
        <w:rPr>
          <w:rFonts w:hint="eastAsia"/>
          <w:color w:val="000000"/>
          <w:kern w:val="0"/>
          <w:sz w:val="24"/>
        </w:rPr>
        <w:t>，</w:t>
      </w:r>
      <w:r w:rsidR="00373F5F" w:rsidRPr="00373F5F">
        <w:rPr>
          <w:rFonts w:hint="eastAsia"/>
          <w:color w:val="000000"/>
          <w:kern w:val="0"/>
          <w:sz w:val="24"/>
        </w:rPr>
        <w:t>法定代表人孙伟挺</w:t>
      </w:r>
      <w:r w:rsidR="00373F5F">
        <w:rPr>
          <w:rFonts w:hint="eastAsia"/>
          <w:color w:val="000000"/>
          <w:kern w:val="0"/>
          <w:sz w:val="24"/>
        </w:rPr>
        <w:t>，</w:t>
      </w:r>
      <w:r w:rsidR="00BD6C29">
        <w:rPr>
          <w:rFonts w:hint="eastAsia"/>
          <w:color w:val="000000"/>
          <w:kern w:val="0"/>
          <w:sz w:val="24"/>
        </w:rPr>
        <w:t>注册资本</w:t>
      </w:r>
      <w:r w:rsidR="009073FC">
        <w:rPr>
          <w:rFonts w:hint="eastAsia"/>
          <w:color w:val="000000"/>
          <w:kern w:val="0"/>
          <w:sz w:val="24"/>
        </w:rPr>
        <w:t>6523.49</w:t>
      </w:r>
      <w:r w:rsidR="009073FC">
        <w:rPr>
          <w:rFonts w:hint="eastAsia"/>
          <w:color w:val="000000"/>
          <w:kern w:val="0"/>
          <w:sz w:val="24"/>
        </w:rPr>
        <w:t>万元人民币，</w:t>
      </w:r>
      <w:r w:rsidR="00373F5F" w:rsidRPr="00373F5F">
        <w:rPr>
          <w:rFonts w:hint="eastAsia"/>
          <w:color w:val="000000"/>
          <w:kern w:val="0"/>
          <w:sz w:val="24"/>
        </w:rPr>
        <w:t>成立日期</w:t>
      </w:r>
      <w:r w:rsidR="00373F5F" w:rsidRPr="00373F5F">
        <w:rPr>
          <w:rFonts w:hint="eastAsia"/>
          <w:color w:val="000000"/>
          <w:kern w:val="0"/>
          <w:sz w:val="24"/>
        </w:rPr>
        <w:t>1998</w:t>
      </w:r>
      <w:r w:rsidR="00373F5F" w:rsidRPr="00373F5F">
        <w:rPr>
          <w:rFonts w:hint="eastAsia"/>
          <w:color w:val="000000"/>
          <w:kern w:val="0"/>
          <w:sz w:val="24"/>
        </w:rPr>
        <w:t>年</w:t>
      </w:r>
      <w:r w:rsidR="00373F5F" w:rsidRPr="00373F5F">
        <w:rPr>
          <w:rFonts w:hint="eastAsia"/>
          <w:color w:val="000000"/>
          <w:kern w:val="0"/>
          <w:sz w:val="24"/>
        </w:rPr>
        <w:t>09</w:t>
      </w:r>
      <w:r w:rsidR="00373F5F" w:rsidRPr="00373F5F">
        <w:rPr>
          <w:rFonts w:hint="eastAsia"/>
          <w:color w:val="000000"/>
          <w:kern w:val="0"/>
          <w:sz w:val="24"/>
        </w:rPr>
        <w:t>月</w:t>
      </w:r>
      <w:r w:rsidR="00373F5F" w:rsidRPr="00373F5F">
        <w:rPr>
          <w:rFonts w:hint="eastAsia"/>
          <w:color w:val="000000"/>
          <w:kern w:val="0"/>
          <w:sz w:val="24"/>
        </w:rPr>
        <w:t>16</w:t>
      </w:r>
      <w:r w:rsidR="00373F5F" w:rsidRPr="00373F5F">
        <w:rPr>
          <w:rFonts w:hint="eastAsia"/>
          <w:color w:val="000000"/>
          <w:kern w:val="0"/>
          <w:sz w:val="24"/>
        </w:rPr>
        <w:t>日</w:t>
      </w:r>
      <w:r w:rsidR="00373F5F">
        <w:rPr>
          <w:rFonts w:hint="eastAsia"/>
          <w:color w:val="000000"/>
          <w:kern w:val="0"/>
          <w:sz w:val="24"/>
        </w:rPr>
        <w:t>，</w:t>
      </w:r>
      <w:r w:rsidR="00373F5F" w:rsidRPr="00373F5F">
        <w:rPr>
          <w:rFonts w:hint="eastAsia"/>
          <w:color w:val="000000"/>
          <w:kern w:val="0"/>
          <w:sz w:val="24"/>
        </w:rPr>
        <w:t>营业期限至</w:t>
      </w:r>
      <w:r w:rsidR="00373F5F" w:rsidRPr="00373F5F">
        <w:rPr>
          <w:rFonts w:hint="eastAsia"/>
          <w:color w:val="000000"/>
          <w:kern w:val="0"/>
          <w:sz w:val="24"/>
        </w:rPr>
        <w:t>2019</w:t>
      </w:r>
      <w:r w:rsidR="00373F5F" w:rsidRPr="00373F5F">
        <w:rPr>
          <w:rFonts w:hint="eastAsia"/>
          <w:color w:val="000000"/>
          <w:kern w:val="0"/>
          <w:sz w:val="24"/>
        </w:rPr>
        <w:t>年</w:t>
      </w:r>
      <w:r w:rsidR="00373F5F" w:rsidRPr="00373F5F">
        <w:rPr>
          <w:rFonts w:hint="eastAsia"/>
          <w:color w:val="000000"/>
          <w:kern w:val="0"/>
          <w:sz w:val="24"/>
        </w:rPr>
        <w:t>09</w:t>
      </w:r>
      <w:r w:rsidR="00373F5F" w:rsidRPr="00373F5F">
        <w:rPr>
          <w:rFonts w:hint="eastAsia"/>
          <w:color w:val="000000"/>
          <w:kern w:val="0"/>
          <w:sz w:val="24"/>
        </w:rPr>
        <w:t>月</w:t>
      </w:r>
      <w:r w:rsidR="00373F5F" w:rsidRPr="00373F5F">
        <w:rPr>
          <w:rFonts w:hint="eastAsia"/>
          <w:color w:val="000000"/>
          <w:kern w:val="0"/>
          <w:sz w:val="24"/>
        </w:rPr>
        <w:t>07</w:t>
      </w:r>
      <w:r w:rsidR="00373F5F" w:rsidRPr="00373F5F">
        <w:rPr>
          <w:rFonts w:hint="eastAsia"/>
          <w:color w:val="000000"/>
          <w:kern w:val="0"/>
          <w:sz w:val="24"/>
        </w:rPr>
        <w:t>日</w:t>
      </w:r>
      <w:r w:rsidR="00373F5F">
        <w:rPr>
          <w:rFonts w:hint="eastAsia"/>
          <w:color w:val="000000"/>
          <w:kern w:val="0"/>
          <w:sz w:val="24"/>
        </w:rPr>
        <w:t>，</w:t>
      </w:r>
      <w:r w:rsidR="00373F5F" w:rsidRPr="00373F5F">
        <w:rPr>
          <w:rFonts w:hint="eastAsia"/>
          <w:color w:val="000000"/>
          <w:kern w:val="0"/>
          <w:sz w:val="24"/>
        </w:rPr>
        <w:t>经营范围工业用特种纺织品、棉纱、棉布、服装、纤维制成品的制造、加工</w:t>
      </w:r>
      <w:r w:rsidR="00373F5F">
        <w:rPr>
          <w:rFonts w:hint="eastAsia"/>
          <w:color w:val="000000"/>
          <w:kern w:val="0"/>
          <w:sz w:val="24"/>
        </w:rPr>
        <w:t>，住所：</w:t>
      </w:r>
      <w:r w:rsidR="00373F5F" w:rsidRPr="00373F5F">
        <w:rPr>
          <w:rFonts w:hint="eastAsia"/>
          <w:color w:val="000000"/>
          <w:kern w:val="0"/>
          <w:sz w:val="24"/>
        </w:rPr>
        <w:t>余姚市纺织路</w:t>
      </w:r>
      <w:r w:rsidR="00373F5F" w:rsidRPr="00373F5F">
        <w:rPr>
          <w:rFonts w:hint="eastAsia"/>
          <w:color w:val="000000"/>
          <w:kern w:val="0"/>
          <w:sz w:val="24"/>
        </w:rPr>
        <w:t>1</w:t>
      </w:r>
      <w:r w:rsidR="00373F5F" w:rsidRPr="00373F5F">
        <w:rPr>
          <w:rFonts w:hint="eastAsia"/>
          <w:color w:val="000000"/>
          <w:kern w:val="0"/>
          <w:sz w:val="24"/>
        </w:rPr>
        <w:t>号</w:t>
      </w:r>
      <w:r w:rsidR="00373F5F">
        <w:rPr>
          <w:rFonts w:hint="eastAsia"/>
          <w:color w:val="000000"/>
          <w:kern w:val="0"/>
          <w:sz w:val="24"/>
        </w:rPr>
        <w:t>。</w:t>
      </w:r>
    </w:p>
    <w:p w:rsidR="00373F5F" w:rsidRDefault="00844CF3" w:rsidP="00C80767">
      <w:pPr>
        <w:wordWrap w:val="0"/>
        <w:spacing w:line="360" w:lineRule="auto"/>
        <w:ind w:rightChars="20" w:right="42" w:firstLineChars="192" w:firstLine="461"/>
        <w:rPr>
          <w:color w:val="000000"/>
          <w:kern w:val="0"/>
          <w:sz w:val="24"/>
        </w:rPr>
      </w:pPr>
      <w:r w:rsidRPr="0038741E">
        <w:rPr>
          <w:color w:val="000000"/>
          <w:sz w:val="24"/>
        </w:rPr>
        <w:t>3</w:t>
      </w:r>
      <w:r w:rsidRPr="0038741E">
        <w:rPr>
          <w:color w:val="000000"/>
          <w:sz w:val="24"/>
        </w:rPr>
        <w:t>）</w:t>
      </w:r>
      <w:r w:rsidRPr="0038741E">
        <w:rPr>
          <w:color w:val="000000"/>
          <w:kern w:val="0"/>
          <w:sz w:val="24"/>
        </w:rPr>
        <w:t>宁海华联纺织有限公司</w:t>
      </w:r>
      <w:r w:rsidR="00C80767">
        <w:rPr>
          <w:rFonts w:hint="eastAsia"/>
          <w:color w:val="000000"/>
          <w:kern w:val="0"/>
          <w:sz w:val="24"/>
        </w:rPr>
        <w:t>，</w:t>
      </w:r>
      <w:r w:rsidR="00373F5F" w:rsidRPr="00373F5F">
        <w:rPr>
          <w:rFonts w:hint="eastAsia"/>
          <w:color w:val="000000"/>
          <w:kern w:val="0"/>
          <w:sz w:val="24"/>
        </w:rPr>
        <w:t>统一社会信用代码为</w:t>
      </w:r>
      <w:r w:rsidR="00373F5F" w:rsidRPr="00373F5F">
        <w:rPr>
          <w:rFonts w:hint="eastAsia"/>
          <w:color w:val="000000"/>
          <w:kern w:val="0"/>
          <w:sz w:val="24"/>
        </w:rPr>
        <w:t>913302267111695663</w:t>
      </w:r>
      <w:r w:rsidR="00373F5F" w:rsidRPr="00373F5F">
        <w:rPr>
          <w:rFonts w:hint="eastAsia"/>
          <w:color w:val="000000"/>
          <w:kern w:val="0"/>
          <w:sz w:val="24"/>
        </w:rPr>
        <w:t>。成立日期</w:t>
      </w:r>
      <w:r w:rsidR="00373F5F">
        <w:rPr>
          <w:rFonts w:hint="eastAsia"/>
          <w:color w:val="000000"/>
          <w:kern w:val="0"/>
          <w:sz w:val="24"/>
        </w:rPr>
        <w:t>为</w:t>
      </w:r>
      <w:r w:rsidR="00373F5F" w:rsidRPr="00373F5F">
        <w:rPr>
          <w:rFonts w:hint="eastAsia"/>
          <w:color w:val="000000"/>
          <w:kern w:val="0"/>
          <w:sz w:val="24"/>
        </w:rPr>
        <w:t>1995</w:t>
      </w:r>
      <w:r w:rsidR="00373F5F" w:rsidRPr="00373F5F">
        <w:rPr>
          <w:rFonts w:hint="eastAsia"/>
          <w:color w:val="000000"/>
          <w:kern w:val="0"/>
          <w:sz w:val="24"/>
        </w:rPr>
        <w:t>年</w:t>
      </w:r>
      <w:r w:rsidR="00373F5F" w:rsidRPr="00373F5F">
        <w:rPr>
          <w:rFonts w:hint="eastAsia"/>
          <w:color w:val="000000"/>
          <w:kern w:val="0"/>
          <w:sz w:val="24"/>
        </w:rPr>
        <w:t>06</w:t>
      </w:r>
      <w:r w:rsidR="00373F5F" w:rsidRPr="00373F5F">
        <w:rPr>
          <w:rFonts w:hint="eastAsia"/>
          <w:color w:val="000000"/>
          <w:kern w:val="0"/>
          <w:sz w:val="24"/>
        </w:rPr>
        <w:t>月</w:t>
      </w:r>
      <w:r w:rsidR="00373F5F" w:rsidRPr="00373F5F">
        <w:rPr>
          <w:rFonts w:hint="eastAsia"/>
          <w:color w:val="000000"/>
          <w:kern w:val="0"/>
          <w:sz w:val="24"/>
        </w:rPr>
        <w:t>19</w:t>
      </w:r>
      <w:r w:rsidR="00373F5F" w:rsidRPr="00373F5F">
        <w:rPr>
          <w:rFonts w:hint="eastAsia"/>
          <w:color w:val="000000"/>
          <w:kern w:val="0"/>
          <w:sz w:val="24"/>
        </w:rPr>
        <w:t>日</w:t>
      </w:r>
      <w:r w:rsidR="00373F5F">
        <w:rPr>
          <w:rFonts w:hint="eastAsia"/>
          <w:color w:val="000000"/>
          <w:kern w:val="0"/>
          <w:sz w:val="24"/>
        </w:rPr>
        <w:t>，</w:t>
      </w:r>
      <w:r w:rsidR="00373F5F" w:rsidRPr="00373F5F">
        <w:rPr>
          <w:rFonts w:hint="eastAsia"/>
          <w:color w:val="000000"/>
          <w:kern w:val="0"/>
          <w:sz w:val="24"/>
        </w:rPr>
        <w:t>法定代表人孙伟挺，注册资本</w:t>
      </w:r>
      <w:r w:rsidR="00373F5F" w:rsidRPr="00373F5F">
        <w:rPr>
          <w:rFonts w:hint="eastAsia"/>
          <w:color w:val="000000"/>
          <w:kern w:val="0"/>
          <w:sz w:val="24"/>
        </w:rPr>
        <w:t>5600</w:t>
      </w:r>
      <w:r w:rsidR="00373F5F" w:rsidRPr="00373F5F">
        <w:rPr>
          <w:rFonts w:hint="eastAsia"/>
          <w:color w:val="000000"/>
          <w:kern w:val="0"/>
          <w:sz w:val="24"/>
        </w:rPr>
        <w:t>万元人民币，营业期至</w:t>
      </w:r>
      <w:r w:rsidR="00373F5F" w:rsidRPr="00373F5F">
        <w:rPr>
          <w:rFonts w:hint="eastAsia"/>
          <w:color w:val="000000"/>
          <w:kern w:val="0"/>
          <w:sz w:val="24"/>
        </w:rPr>
        <w:t>2019</w:t>
      </w:r>
      <w:r w:rsidR="00373F5F" w:rsidRPr="00373F5F">
        <w:rPr>
          <w:rFonts w:hint="eastAsia"/>
          <w:color w:val="000000"/>
          <w:kern w:val="0"/>
          <w:sz w:val="24"/>
        </w:rPr>
        <w:t>年</w:t>
      </w:r>
      <w:r w:rsidR="00373F5F" w:rsidRPr="00373F5F">
        <w:rPr>
          <w:rFonts w:hint="eastAsia"/>
          <w:color w:val="000000"/>
          <w:kern w:val="0"/>
          <w:sz w:val="24"/>
        </w:rPr>
        <w:t>08</w:t>
      </w:r>
      <w:r w:rsidR="00373F5F" w:rsidRPr="00373F5F">
        <w:rPr>
          <w:rFonts w:hint="eastAsia"/>
          <w:color w:val="000000"/>
          <w:kern w:val="0"/>
          <w:sz w:val="24"/>
        </w:rPr>
        <w:t>月</w:t>
      </w:r>
      <w:r w:rsidR="00373F5F" w:rsidRPr="00373F5F">
        <w:rPr>
          <w:rFonts w:hint="eastAsia"/>
          <w:color w:val="000000"/>
          <w:kern w:val="0"/>
          <w:sz w:val="24"/>
        </w:rPr>
        <w:t>26</w:t>
      </w:r>
      <w:r w:rsidR="00373F5F" w:rsidRPr="00373F5F">
        <w:rPr>
          <w:rFonts w:hint="eastAsia"/>
          <w:color w:val="000000"/>
          <w:kern w:val="0"/>
          <w:sz w:val="24"/>
        </w:rPr>
        <w:t>日。经营范围：</w:t>
      </w:r>
      <w:r w:rsidR="00373F5F" w:rsidRPr="00373F5F">
        <w:rPr>
          <w:rFonts w:hint="eastAsia"/>
          <w:color w:val="000000"/>
          <w:kern w:val="0"/>
          <w:sz w:val="24"/>
        </w:rPr>
        <w:t xml:space="preserve"> </w:t>
      </w:r>
      <w:r w:rsidR="00373F5F" w:rsidRPr="00373F5F">
        <w:rPr>
          <w:rFonts w:hint="eastAsia"/>
          <w:color w:val="000000"/>
          <w:kern w:val="0"/>
          <w:sz w:val="24"/>
        </w:rPr>
        <w:t>纺纱加工</w:t>
      </w:r>
      <w:r w:rsidR="00373F5F" w:rsidRPr="00373F5F">
        <w:rPr>
          <w:rFonts w:hint="eastAsia"/>
          <w:color w:val="000000"/>
          <w:kern w:val="0"/>
          <w:sz w:val="24"/>
        </w:rPr>
        <w:t xml:space="preserve"> </w:t>
      </w:r>
      <w:r w:rsidR="00373F5F" w:rsidRPr="00373F5F">
        <w:rPr>
          <w:rFonts w:hint="eastAsia"/>
          <w:color w:val="000000"/>
          <w:kern w:val="0"/>
          <w:sz w:val="24"/>
        </w:rPr>
        <w:t>针织品、服装制造、加工；纺织原料、纺织器材、五金交电、建筑材料批发、零售、仓储；自营和代理货物和技术的进出口，但国家限制或禁止的货物和技术除外。住所</w:t>
      </w:r>
      <w:r w:rsidR="00373F5F">
        <w:rPr>
          <w:rFonts w:hint="eastAsia"/>
          <w:color w:val="000000"/>
          <w:kern w:val="0"/>
          <w:sz w:val="24"/>
        </w:rPr>
        <w:t>为</w:t>
      </w:r>
      <w:r w:rsidR="00373F5F" w:rsidRPr="00373F5F">
        <w:rPr>
          <w:rFonts w:hint="eastAsia"/>
          <w:color w:val="000000"/>
          <w:kern w:val="0"/>
          <w:sz w:val="24"/>
        </w:rPr>
        <w:t>宁海县跃龙街道纺织东路</w:t>
      </w:r>
      <w:r w:rsidR="00373F5F" w:rsidRPr="00373F5F">
        <w:rPr>
          <w:rFonts w:hint="eastAsia"/>
          <w:color w:val="000000"/>
          <w:kern w:val="0"/>
          <w:sz w:val="24"/>
        </w:rPr>
        <w:t>146</w:t>
      </w:r>
      <w:r w:rsidR="00373F5F" w:rsidRPr="00373F5F">
        <w:rPr>
          <w:rFonts w:hint="eastAsia"/>
          <w:color w:val="000000"/>
          <w:kern w:val="0"/>
          <w:sz w:val="24"/>
        </w:rPr>
        <w:t>号</w:t>
      </w:r>
      <w:r w:rsidR="00373F5F">
        <w:rPr>
          <w:rFonts w:hint="eastAsia"/>
          <w:color w:val="000000"/>
          <w:kern w:val="0"/>
          <w:sz w:val="24"/>
        </w:rPr>
        <w:t>。</w:t>
      </w:r>
    </w:p>
    <w:p w:rsidR="00844CF3" w:rsidRPr="00802722" w:rsidRDefault="00844CF3" w:rsidP="00373F5F">
      <w:pPr>
        <w:spacing w:line="360" w:lineRule="auto"/>
        <w:ind w:rightChars="20" w:right="42" w:firstLineChars="192" w:firstLine="463"/>
        <w:rPr>
          <w:b/>
          <w:color w:val="000000"/>
          <w:sz w:val="24"/>
        </w:rPr>
      </w:pPr>
      <w:r w:rsidRPr="00802722">
        <w:rPr>
          <w:b/>
          <w:color w:val="000000"/>
          <w:sz w:val="24"/>
        </w:rPr>
        <w:t>2</w:t>
      </w:r>
      <w:r w:rsidRPr="00802722">
        <w:rPr>
          <w:b/>
          <w:color w:val="000000"/>
          <w:sz w:val="24"/>
        </w:rPr>
        <w:t>、关联方</w:t>
      </w:r>
      <w:r w:rsidRPr="00802722">
        <w:rPr>
          <w:b/>
          <w:color w:val="000000"/>
          <w:sz w:val="24"/>
        </w:rPr>
        <w:t>201</w:t>
      </w:r>
      <w:r w:rsidR="00E453C9">
        <w:rPr>
          <w:rFonts w:hint="eastAsia"/>
          <w:b/>
          <w:color w:val="000000"/>
          <w:sz w:val="24"/>
        </w:rPr>
        <w:t>6</w:t>
      </w:r>
      <w:r w:rsidRPr="00802722">
        <w:rPr>
          <w:b/>
          <w:color w:val="000000"/>
          <w:sz w:val="24"/>
        </w:rPr>
        <w:t>年经营情况</w:t>
      </w:r>
    </w:p>
    <w:p w:rsidR="00844CF3" w:rsidRPr="00CB5794" w:rsidRDefault="00844CF3" w:rsidP="00844CF3">
      <w:pPr>
        <w:autoSpaceDE w:val="0"/>
        <w:autoSpaceDN w:val="0"/>
        <w:adjustRightInd w:val="0"/>
        <w:spacing w:before="50" w:afterLines="50" w:after="156" w:line="400" w:lineRule="exact"/>
        <w:ind w:rightChars="20" w:right="42" w:firstLineChars="200" w:firstLine="480"/>
        <w:jc w:val="right"/>
        <w:rPr>
          <w:color w:val="000000"/>
          <w:sz w:val="24"/>
        </w:rPr>
      </w:pPr>
      <w:r w:rsidRPr="00CB5794">
        <w:rPr>
          <w:color w:val="000000"/>
          <w:sz w:val="24"/>
        </w:rPr>
        <w:t>单位：万元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240"/>
        <w:gridCol w:w="2175"/>
        <w:gridCol w:w="2257"/>
      </w:tblGrid>
      <w:tr w:rsidR="00844CF3" w:rsidRPr="004E6ECC" w:rsidTr="00503F36">
        <w:trPr>
          <w:trHeight w:val="465"/>
          <w:jc w:val="center"/>
        </w:trPr>
        <w:tc>
          <w:tcPr>
            <w:tcW w:w="1085" w:type="pct"/>
            <w:noWrap/>
            <w:hideMark/>
          </w:tcPr>
          <w:p w:rsidR="00844CF3" w:rsidRPr="00425978" w:rsidRDefault="00844CF3" w:rsidP="00503F36">
            <w:pPr>
              <w:widowControl/>
              <w:jc w:val="left"/>
              <w:rPr>
                <w:color w:val="000000"/>
                <w:kern w:val="0"/>
                <w:sz w:val="24"/>
              </w:rPr>
            </w:pPr>
            <w:r w:rsidRPr="00425978">
              <w:rPr>
                <w:color w:val="000000"/>
                <w:kern w:val="0"/>
                <w:sz w:val="24"/>
              </w:rPr>
              <w:t xml:space="preserve">　</w:t>
            </w:r>
          </w:p>
        </w:tc>
        <w:tc>
          <w:tcPr>
            <w:tcW w:w="1314" w:type="pct"/>
            <w:noWrap/>
            <w:hideMark/>
          </w:tcPr>
          <w:p w:rsidR="00844CF3" w:rsidRPr="00681E70" w:rsidRDefault="00844CF3" w:rsidP="00503F36">
            <w:pPr>
              <w:widowControl/>
              <w:jc w:val="center"/>
              <w:rPr>
                <w:color w:val="000000"/>
                <w:kern w:val="0"/>
                <w:sz w:val="24"/>
              </w:rPr>
            </w:pPr>
            <w:proofErr w:type="gramStart"/>
            <w:r w:rsidRPr="00681E70">
              <w:rPr>
                <w:color w:val="000000"/>
                <w:kern w:val="0"/>
                <w:sz w:val="24"/>
              </w:rPr>
              <w:t>新疆恒孚</w:t>
            </w:r>
            <w:proofErr w:type="gramEnd"/>
          </w:p>
        </w:tc>
        <w:tc>
          <w:tcPr>
            <w:tcW w:w="1276" w:type="pct"/>
            <w:noWrap/>
            <w:hideMark/>
          </w:tcPr>
          <w:p w:rsidR="00844CF3" w:rsidRPr="00681E70" w:rsidRDefault="00844CF3" w:rsidP="00503F36">
            <w:pPr>
              <w:widowControl/>
              <w:jc w:val="center"/>
              <w:rPr>
                <w:color w:val="000000"/>
                <w:kern w:val="0"/>
                <w:sz w:val="24"/>
              </w:rPr>
            </w:pPr>
            <w:r w:rsidRPr="00681E70">
              <w:rPr>
                <w:color w:val="000000"/>
                <w:kern w:val="0"/>
                <w:sz w:val="24"/>
              </w:rPr>
              <w:t>余姚华联</w:t>
            </w:r>
          </w:p>
        </w:tc>
        <w:tc>
          <w:tcPr>
            <w:tcW w:w="1324" w:type="pct"/>
            <w:noWrap/>
            <w:hideMark/>
          </w:tcPr>
          <w:p w:rsidR="00844CF3" w:rsidRPr="00681E70" w:rsidRDefault="00844CF3" w:rsidP="00503F36">
            <w:pPr>
              <w:widowControl/>
              <w:jc w:val="center"/>
              <w:rPr>
                <w:color w:val="000000"/>
                <w:kern w:val="0"/>
                <w:sz w:val="24"/>
              </w:rPr>
            </w:pPr>
            <w:r w:rsidRPr="00681E70">
              <w:rPr>
                <w:color w:val="000000"/>
                <w:kern w:val="0"/>
                <w:sz w:val="24"/>
              </w:rPr>
              <w:t>宁海华联</w:t>
            </w:r>
          </w:p>
        </w:tc>
      </w:tr>
      <w:tr w:rsidR="00844CF3" w:rsidRPr="004E6ECC" w:rsidTr="00503F36">
        <w:trPr>
          <w:trHeight w:val="465"/>
          <w:jc w:val="center"/>
        </w:trPr>
        <w:tc>
          <w:tcPr>
            <w:tcW w:w="1085" w:type="pct"/>
            <w:noWrap/>
            <w:hideMark/>
          </w:tcPr>
          <w:p w:rsidR="00844CF3" w:rsidRPr="003A0AED" w:rsidRDefault="00844CF3" w:rsidP="00503F36">
            <w:pPr>
              <w:widowControl/>
              <w:jc w:val="center"/>
              <w:rPr>
                <w:kern w:val="0"/>
                <w:sz w:val="24"/>
              </w:rPr>
            </w:pPr>
            <w:r w:rsidRPr="003A0AED">
              <w:rPr>
                <w:kern w:val="0"/>
                <w:sz w:val="24"/>
              </w:rPr>
              <w:t>总资产</w:t>
            </w:r>
          </w:p>
        </w:tc>
        <w:tc>
          <w:tcPr>
            <w:tcW w:w="1314" w:type="pct"/>
            <w:noWrap/>
            <w:vAlign w:val="center"/>
            <w:hideMark/>
          </w:tcPr>
          <w:p w:rsidR="00844CF3" w:rsidRPr="00681E70" w:rsidRDefault="00DF3EEE" w:rsidP="00DF3EEE">
            <w:pPr>
              <w:widowControl/>
              <w:jc w:val="right"/>
              <w:rPr>
                <w:color w:val="000000"/>
                <w:kern w:val="0"/>
                <w:sz w:val="24"/>
              </w:rPr>
            </w:pPr>
            <w:r>
              <w:rPr>
                <w:color w:val="000000"/>
                <w:kern w:val="0"/>
                <w:sz w:val="24"/>
              </w:rPr>
              <w:t>35504</w:t>
            </w:r>
            <w:r>
              <w:rPr>
                <w:rFonts w:hint="eastAsia"/>
                <w:color w:val="000000"/>
                <w:kern w:val="0"/>
                <w:sz w:val="24"/>
              </w:rPr>
              <w:t>.22</w:t>
            </w:r>
          </w:p>
        </w:tc>
        <w:tc>
          <w:tcPr>
            <w:tcW w:w="1276" w:type="pct"/>
            <w:noWrap/>
            <w:vAlign w:val="center"/>
            <w:hideMark/>
          </w:tcPr>
          <w:p w:rsidR="00844CF3" w:rsidRPr="00191D49" w:rsidRDefault="00197828" w:rsidP="00197828">
            <w:pPr>
              <w:widowControl/>
              <w:jc w:val="right"/>
              <w:rPr>
                <w:kern w:val="0"/>
                <w:sz w:val="24"/>
              </w:rPr>
            </w:pPr>
            <w:r w:rsidRPr="00191D49">
              <w:rPr>
                <w:rFonts w:hint="eastAsia"/>
                <w:kern w:val="0"/>
                <w:sz w:val="24"/>
              </w:rPr>
              <w:t>68121.51</w:t>
            </w:r>
          </w:p>
        </w:tc>
        <w:tc>
          <w:tcPr>
            <w:tcW w:w="1324" w:type="pct"/>
            <w:noWrap/>
            <w:vAlign w:val="center"/>
            <w:hideMark/>
          </w:tcPr>
          <w:p w:rsidR="00844CF3" w:rsidRPr="00191D49" w:rsidRDefault="00197828" w:rsidP="00503F36">
            <w:pPr>
              <w:widowControl/>
              <w:jc w:val="right"/>
              <w:rPr>
                <w:kern w:val="0"/>
                <w:sz w:val="24"/>
              </w:rPr>
            </w:pPr>
            <w:r w:rsidRPr="00191D49">
              <w:rPr>
                <w:rFonts w:hint="eastAsia"/>
                <w:kern w:val="0"/>
                <w:sz w:val="24"/>
              </w:rPr>
              <w:t>32806.87</w:t>
            </w:r>
          </w:p>
        </w:tc>
      </w:tr>
      <w:tr w:rsidR="00844CF3" w:rsidRPr="004E6ECC" w:rsidTr="00503F36">
        <w:trPr>
          <w:trHeight w:val="465"/>
          <w:jc w:val="center"/>
        </w:trPr>
        <w:tc>
          <w:tcPr>
            <w:tcW w:w="1085" w:type="pct"/>
            <w:noWrap/>
            <w:hideMark/>
          </w:tcPr>
          <w:p w:rsidR="00844CF3" w:rsidRPr="003A0AED" w:rsidRDefault="00844CF3" w:rsidP="00503F36">
            <w:pPr>
              <w:widowControl/>
              <w:jc w:val="center"/>
              <w:rPr>
                <w:kern w:val="0"/>
                <w:sz w:val="24"/>
              </w:rPr>
            </w:pPr>
            <w:r w:rsidRPr="003A0AED">
              <w:rPr>
                <w:kern w:val="0"/>
                <w:sz w:val="24"/>
              </w:rPr>
              <w:t>净资产</w:t>
            </w:r>
          </w:p>
        </w:tc>
        <w:tc>
          <w:tcPr>
            <w:tcW w:w="1314" w:type="pct"/>
            <w:noWrap/>
            <w:vAlign w:val="center"/>
            <w:hideMark/>
          </w:tcPr>
          <w:p w:rsidR="00844CF3" w:rsidRPr="00681E70" w:rsidRDefault="00DF3EEE" w:rsidP="00DF3EEE">
            <w:pPr>
              <w:widowControl/>
              <w:jc w:val="right"/>
              <w:rPr>
                <w:color w:val="000000"/>
                <w:kern w:val="0"/>
                <w:sz w:val="24"/>
              </w:rPr>
            </w:pPr>
            <w:r>
              <w:rPr>
                <w:color w:val="000000"/>
                <w:kern w:val="0"/>
                <w:sz w:val="24"/>
              </w:rPr>
              <w:t>38</w:t>
            </w:r>
            <w:r w:rsidRPr="00DF3EEE">
              <w:rPr>
                <w:color w:val="000000"/>
                <w:kern w:val="0"/>
                <w:sz w:val="24"/>
              </w:rPr>
              <w:t>14</w:t>
            </w:r>
            <w:r>
              <w:rPr>
                <w:rFonts w:hint="eastAsia"/>
                <w:color w:val="000000"/>
                <w:kern w:val="0"/>
                <w:sz w:val="24"/>
              </w:rPr>
              <w:t>.</w:t>
            </w:r>
            <w:r>
              <w:rPr>
                <w:color w:val="000000"/>
                <w:kern w:val="0"/>
                <w:sz w:val="24"/>
              </w:rPr>
              <w:t>5</w:t>
            </w:r>
            <w:r>
              <w:rPr>
                <w:rFonts w:hint="eastAsia"/>
                <w:color w:val="000000"/>
                <w:kern w:val="0"/>
                <w:sz w:val="24"/>
              </w:rPr>
              <w:t>7</w:t>
            </w:r>
          </w:p>
        </w:tc>
        <w:tc>
          <w:tcPr>
            <w:tcW w:w="1276" w:type="pct"/>
            <w:noWrap/>
            <w:vAlign w:val="center"/>
            <w:hideMark/>
          </w:tcPr>
          <w:p w:rsidR="00844CF3" w:rsidRPr="00191D49" w:rsidRDefault="00197828" w:rsidP="00503F36">
            <w:pPr>
              <w:widowControl/>
              <w:jc w:val="right"/>
              <w:rPr>
                <w:kern w:val="0"/>
                <w:sz w:val="24"/>
              </w:rPr>
            </w:pPr>
            <w:r w:rsidRPr="00191D49">
              <w:rPr>
                <w:rFonts w:hint="eastAsia"/>
                <w:kern w:val="0"/>
                <w:sz w:val="24"/>
              </w:rPr>
              <w:t>34999.99</w:t>
            </w:r>
          </w:p>
        </w:tc>
        <w:tc>
          <w:tcPr>
            <w:tcW w:w="1324" w:type="pct"/>
            <w:noWrap/>
            <w:vAlign w:val="center"/>
            <w:hideMark/>
          </w:tcPr>
          <w:p w:rsidR="00844CF3" w:rsidRPr="00191D49" w:rsidRDefault="00197828" w:rsidP="00503F36">
            <w:pPr>
              <w:widowControl/>
              <w:jc w:val="right"/>
              <w:rPr>
                <w:kern w:val="0"/>
                <w:sz w:val="24"/>
              </w:rPr>
            </w:pPr>
            <w:r w:rsidRPr="00191D49">
              <w:rPr>
                <w:rFonts w:hint="eastAsia"/>
                <w:kern w:val="0"/>
                <w:sz w:val="24"/>
              </w:rPr>
              <w:t>3543.40</w:t>
            </w:r>
          </w:p>
        </w:tc>
      </w:tr>
      <w:tr w:rsidR="00844CF3" w:rsidRPr="00425978" w:rsidTr="00503F36">
        <w:trPr>
          <w:trHeight w:val="465"/>
          <w:jc w:val="center"/>
        </w:trPr>
        <w:tc>
          <w:tcPr>
            <w:tcW w:w="1085" w:type="pct"/>
            <w:noWrap/>
            <w:hideMark/>
          </w:tcPr>
          <w:p w:rsidR="00844CF3" w:rsidRPr="003A0AED" w:rsidRDefault="00844CF3" w:rsidP="00503F36">
            <w:pPr>
              <w:widowControl/>
              <w:jc w:val="center"/>
              <w:rPr>
                <w:kern w:val="0"/>
                <w:sz w:val="24"/>
              </w:rPr>
            </w:pPr>
            <w:r w:rsidRPr="003A0AED">
              <w:rPr>
                <w:kern w:val="0"/>
                <w:sz w:val="24"/>
              </w:rPr>
              <w:t>营业收入</w:t>
            </w:r>
          </w:p>
        </w:tc>
        <w:tc>
          <w:tcPr>
            <w:tcW w:w="1314" w:type="pct"/>
            <w:noWrap/>
            <w:vAlign w:val="center"/>
            <w:hideMark/>
          </w:tcPr>
          <w:p w:rsidR="00844CF3" w:rsidRPr="00681E70" w:rsidRDefault="00DF3EEE" w:rsidP="00503F36">
            <w:pPr>
              <w:widowControl/>
              <w:jc w:val="right"/>
              <w:rPr>
                <w:color w:val="000000"/>
                <w:kern w:val="0"/>
                <w:sz w:val="24"/>
              </w:rPr>
            </w:pPr>
            <w:r>
              <w:rPr>
                <w:color w:val="000000"/>
                <w:kern w:val="0"/>
                <w:sz w:val="24"/>
              </w:rPr>
              <w:t>213</w:t>
            </w:r>
            <w:r w:rsidRPr="00DF3EEE">
              <w:rPr>
                <w:color w:val="000000"/>
                <w:kern w:val="0"/>
                <w:sz w:val="24"/>
              </w:rPr>
              <w:t>16</w:t>
            </w:r>
            <w:r>
              <w:rPr>
                <w:rFonts w:hint="eastAsia"/>
                <w:color w:val="000000"/>
                <w:kern w:val="0"/>
                <w:sz w:val="24"/>
              </w:rPr>
              <w:t>.</w:t>
            </w:r>
            <w:r>
              <w:rPr>
                <w:color w:val="000000"/>
                <w:kern w:val="0"/>
                <w:sz w:val="24"/>
              </w:rPr>
              <w:t>17</w:t>
            </w:r>
          </w:p>
        </w:tc>
        <w:tc>
          <w:tcPr>
            <w:tcW w:w="1276" w:type="pct"/>
            <w:noWrap/>
            <w:vAlign w:val="center"/>
            <w:hideMark/>
          </w:tcPr>
          <w:p w:rsidR="00844CF3" w:rsidRPr="00191D49" w:rsidRDefault="00197828" w:rsidP="00503F36">
            <w:pPr>
              <w:widowControl/>
              <w:jc w:val="right"/>
              <w:rPr>
                <w:kern w:val="0"/>
                <w:sz w:val="24"/>
              </w:rPr>
            </w:pPr>
            <w:r w:rsidRPr="00191D49">
              <w:rPr>
                <w:rFonts w:hint="eastAsia"/>
                <w:kern w:val="0"/>
                <w:sz w:val="24"/>
              </w:rPr>
              <w:t>65667.12</w:t>
            </w:r>
          </w:p>
        </w:tc>
        <w:tc>
          <w:tcPr>
            <w:tcW w:w="1324" w:type="pct"/>
            <w:noWrap/>
            <w:vAlign w:val="center"/>
            <w:hideMark/>
          </w:tcPr>
          <w:p w:rsidR="00844CF3" w:rsidRPr="00191D49" w:rsidRDefault="00197828" w:rsidP="00503F36">
            <w:pPr>
              <w:widowControl/>
              <w:jc w:val="right"/>
              <w:rPr>
                <w:kern w:val="0"/>
                <w:sz w:val="24"/>
              </w:rPr>
            </w:pPr>
            <w:r w:rsidRPr="00191D49">
              <w:rPr>
                <w:rFonts w:hint="eastAsia"/>
                <w:kern w:val="0"/>
                <w:sz w:val="24"/>
              </w:rPr>
              <w:t>68375.84</w:t>
            </w:r>
          </w:p>
        </w:tc>
      </w:tr>
    </w:tbl>
    <w:p w:rsidR="00844CF3" w:rsidRPr="00F24AF2" w:rsidRDefault="00F24AF2" w:rsidP="00F24AF2">
      <w:pPr>
        <w:spacing w:before="50" w:afterLines="50" w:after="156" w:line="400" w:lineRule="exact"/>
        <w:ind w:rightChars="20" w:right="42"/>
        <w:jc w:val="left"/>
        <w:rPr>
          <w:sz w:val="24"/>
        </w:rPr>
      </w:pPr>
      <w:r w:rsidRPr="00F24AF2">
        <w:rPr>
          <w:sz w:val="24"/>
        </w:rPr>
        <w:t>注：上述数据</w:t>
      </w:r>
      <w:r w:rsidRPr="00F24AF2">
        <w:rPr>
          <w:rFonts w:hint="eastAsia"/>
          <w:sz w:val="24"/>
        </w:rPr>
        <w:t>中，新疆</w:t>
      </w:r>
      <w:proofErr w:type="gramStart"/>
      <w:r w:rsidRPr="00F24AF2">
        <w:rPr>
          <w:rFonts w:hint="eastAsia"/>
          <w:sz w:val="24"/>
        </w:rPr>
        <w:t>恒孚没有</w:t>
      </w:r>
      <w:proofErr w:type="gramEnd"/>
      <w:r w:rsidRPr="00F24AF2">
        <w:rPr>
          <w:rFonts w:hint="eastAsia"/>
          <w:sz w:val="24"/>
        </w:rPr>
        <w:t>经过审计，余姚华联和宁海华联</w:t>
      </w:r>
      <w:r w:rsidR="00844CF3" w:rsidRPr="00F24AF2">
        <w:rPr>
          <w:sz w:val="24"/>
        </w:rPr>
        <w:t>经</w:t>
      </w:r>
      <w:r w:rsidRPr="00F24AF2">
        <w:rPr>
          <w:rFonts w:hint="eastAsia"/>
          <w:sz w:val="24"/>
        </w:rPr>
        <w:t>过</w:t>
      </w:r>
      <w:r w:rsidR="00844CF3" w:rsidRPr="00F24AF2">
        <w:rPr>
          <w:sz w:val="24"/>
        </w:rPr>
        <w:t>审计</w:t>
      </w:r>
      <w:r w:rsidRPr="00F24AF2">
        <w:rPr>
          <w:rFonts w:hint="eastAsia"/>
          <w:sz w:val="24"/>
        </w:rPr>
        <w:t>。</w:t>
      </w:r>
    </w:p>
    <w:p w:rsidR="00844CF3" w:rsidRPr="00F24AF2" w:rsidRDefault="00844CF3" w:rsidP="00844CF3">
      <w:pPr>
        <w:autoSpaceDE w:val="0"/>
        <w:autoSpaceDN w:val="0"/>
        <w:adjustRightInd w:val="0"/>
        <w:spacing w:before="50" w:afterLines="50" w:after="156" w:line="400" w:lineRule="exact"/>
        <w:ind w:rightChars="20" w:right="42" w:firstLineChars="200" w:firstLine="482"/>
        <w:jc w:val="left"/>
        <w:rPr>
          <w:b/>
          <w:sz w:val="24"/>
        </w:rPr>
      </w:pPr>
      <w:r w:rsidRPr="00F24AF2">
        <w:rPr>
          <w:b/>
          <w:sz w:val="24"/>
        </w:rPr>
        <w:t>3</w:t>
      </w:r>
      <w:r w:rsidRPr="00F24AF2">
        <w:rPr>
          <w:b/>
          <w:sz w:val="24"/>
        </w:rPr>
        <w:t>、与公司的关联关系</w:t>
      </w:r>
    </w:p>
    <w:p w:rsidR="00844CF3" w:rsidRPr="00874AA4" w:rsidRDefault="00844CF3" w:rsidP="00844CF3">
      <w:pPr>
        <w:spacing w:before="50" w:afterLines="50" w:after="156" w:line="400" w:lineRule="exact"/>
        <w:ind w:rightChars="20" w:right="42" w:firstLine="539"/>
        <w:rPr>
          <w:color w:val="000000"/>
          <w:sz w:val="24"/>
        </w:rPr>
      </w:pPr>
      <w:r w:rsidRPr="00874AA4">
        <w:rPr>
          <w:color w:val="000000"/>
          <w:sz w:val="24"/>
        </w:rPr>
        <w:t>公司、新疆恒孚棉产业集团有限公司、余姚华联纺织有限公司、宁海华联纺织有限公司均为同一控股股东华孚控股有限公司控制下的子公司。</w:t>
      </w:r>
    </w:p>
    <w:p w:rsidR="00844CF3" w:rsidRPr="00E047E3" w:rsidRDefault="00844CF3" w:rsidP="00844CF3">
      <w:pPr>
        <w:autoSpaceDE w:val="0"/>
        <w:autoSpaceDN w:val="0"/>
        <w:adjustRightInd w:val="0"/>
        <w:spacing w:beforeLines="50" w:before="156" w:afterLines="50" w:after="156" w:line="400" w:lineRule="exact"/>
        <w:ind w:left="471" w:rightChars="20" w:right="42"/>
        <w:jc w:val="left"/>
        <w:outlineLvl w:val="0"/>
        <w:rPr>
          <w:b/>
          <w:color w:val="000000"/>
          <w:sz w:val="24"/>
        </w:rPr>
      </w:pPr>
      <w:r w:rsidRPr="00E047E3">
        <w:rPr>
          <w:b/>
          <w:color w:val="000000"/>
          <w:sz w:val="24"/>
        </w:rPr>
        <w:t>4</w:t>
      </w:r>
      <w:r w:rsidRPr="00E047E3">
        <w:rPr>
          <w:b/>
          <w:color w:val="000000"/>
          <w:sz w:val="24"/>
        </w:rPr>
        <w:t>、履约能力分析</w:t>
      </w:r>
    </w:p>
    <w:p w:rsidR="00844CF3" w:rsidRPr="00E047E3" w:rsidRDefault="00844CF3" w:rsidP="00844CF3">
      <w:pPr>
        <w:autoSpaceDE w:val="0"/>
        <w:autoSpaceDN w:val="0"/>
        <w:adjustRightInd w:val="0"/>
        <w:spacing w:beforeLines="50" w:before="156" w:afterLines="50" w:after="156" w:line="400" w:lineRule="exact"/>
        <w:ind w:rightChars="20" w:right="42" w:firstLineChars="196" w:firstLine="470"/>
        <w:jc w:val="left"/>
        <w:outlineLvl w:val="0"/>
        <w:rPr>
          <w:b/>
          <w:color w:val="000000"/>
          <w:sz w:val="24"/>
        </w:rPr>
      </w:pPr>
      <w:r w:rsidRPr="00E047E3">
        <w:rPr>
          <w:color w:val="000000"/>
          <w:sz w:val="24"/>
        </w:rPr>
        <w:lastRenderedPageBreak/>
        <w:t>华孚控股有限公司及旗下控股子公司生产经营正常，财务状况良好，市场信誉较高，具备履约能力。</w:t>
      </w:r>
    </w:p>
    <w:p w:rsidR="00844CF3" w:rsidRPr="00E047E3" w:rsidRDefault="00844CF3" w:rsidP="00844CF3">
      <w:pPr>
        <w:autoSpaceDE w:val="0"/>
        <w:autoSpaceDN w:val="0"/>
        <w:adjustRightInd w:val="0"/>
        <w:spacing w:before="50" w:afterLines="50" w:after="156" w:line="400" w:lineRule="exact"/>
        <w:ind w:rightChars="20" w:right="42" w:firstLineChars="200" w:firstLine="482"/>
        <w:jc w:val="left"/>
        <w:outlineLvl w:val="0"/>
        <w:rPr>
          <w:b/>
          <w:color w:val="000000"/>
          <w:sz w:val="24"/>
        </w:rPr>
      </w:pPr>
      <w:r w:rsidRPr="00E047E3">
        <w:rPr>
          <w:b/>
          <w:color w:val="000000"/>
          <w:sz w:val="24"/>
        </w:rPr>
        <w:t>5</w:t>
      </w:r>
      <w:r w:rsidRPr="00E047E3">
        <w:rPr>
          <w:b/>
          <w:color w:val="000000"/>
          <w:sz w:val="24"/>
        </w:rPr>
        <w:t>、定价政策和采购依据</w:t>
      </w:r>
    </w:p>
    <w:p w:rsidR="00844CF3" w:rsidRPr="00E047E3" w:rsidRDefault="00844CF3" w:rsidP="00844CF3">
      <w:pPr>
        <w:autoSpaceDE w:val="0"/>
        <w:autoSpaceDN w:val="0"/>
        <w:adjustRightInd w:val="0"/>
        <w:spacing w:before="50" w:afterLines="50" w:after="156" w:line="400" w:lineRule="exact"/>
        <w:ind w:rightChars="20" w:right="42" w:firstLineChars="200" w:firstLine="480"/>
        <w:jc w:val="left"/>
        <w:rPr>
          <w:color w:val="000000"/>
          <w:kern w:val="0"/>
          <w:sz w:val="24"/>
        </w:rPr>
      </w:pPr>
      <w:r w:rsidRPr="00E047E3">
        <w:rPr>
          <w:color w:val="000000"/>
          <w:kern w:val="0"/>
          <w:sz w:val="24"/>
        </w:rPr>
        <w:t>上述关联采购为生产所需的原材料，按照公开、公平、公正的原则，采购价格依据市场同期公允价格确定。房屋租赁也参照了当地的租赁标准。</w:t>
      </w:r>
    </w:p>
    <w:p w:rsidR="00844CF3" w:rsidRPr="00E047E3" w:rsidRDefault="00844CF3" w:rsidP="00844CF3">
      <w:pPr>
        <w:spacing w:before="50" w:afterLines="50" w:after="156" w:line="400" w:lineRule="exact"/>
        <w:ind w:rightChars="20" w:right="42" w:firstLineChars="200" w:firstLine="482"/>
        <w:outlineLvl w:val="0"/>
        <w:rPr>
          <w:b/>
          <w:color w:val="000000"/>
          <w:sz w:val="24"/>
        </w:rPr>
      </w:pPr>
      <w:r w:rsidRPr="00E047E3">
        <w:rPr>
          <w:b/>
          <w:color w:val="000000"/>
          <w:sz w:val="24"/>
        </w:rPr>
        <w:t>6</w:t>
      </w:r>
      <w:r w:rsidRPr="00E047E3">
        <w:rPr>
          <w:b/>
          <w:color w:val="000000"/>
          <w:sz w:val="24"/>
        </w:rPr>
        <w:t>、关联交易目的和对上市公司的影响</w:t>
      </w:r>
    </w:p>
    <w:p w:rsidR="00844CF3" w:rsidRPr="00E047E3" w:rsidRDefault="00844CF3" w:rsidP="00844CF3">
      <w:pPr>
        <w:autoSpaceDE w:val="0"/>
        <w:autoSpaceDN w:val="0"/>
        <w:adjustRightInd w:val="0"/>
        <w:spacing w:before="50" w:afterLines="50" w:after="156" w:line="400" w:lineRule="exact"/>
        <w:ind w:rightChars="20" w:right="42" w:firstLineChars="200" w:firstLine="480"/>
        <w:jc w:val="left"/>
        <w:outlineLvl w:val="0"/>
        <w:rPr>
          <w:color w:val="000000"/>
          <w:sz w:val="24"/>
        </w:rPr>
      </w:pPr>
      <w:r w:rsidRPr="00E047E3">
        <w:rPr>
          <w:color w:val="000000"/>
          <w:sz w:val="24"/>
        </w:rPr>
        <w:t>各项日常关联交易协议按一般商业条款订立，交易项目的价格公允，符合公司及全体股东利益；日常关联交易不会对公司现在及将来的财务状况、经营成果产生不利影响；公司与实际控制人在业务、人员、资产、机构、财务等方面独立，日常关联交易不会对公司独立性产生影响，公司业务没有因日常关联交易而对关联人形成依赖。</w:t>
      </w:r>
    </w:p>
    <w:p w:rsidR="00844CF3" w:rsidRPr="00E047E3" w:rsidRDefault="00844CF3" w:rsidP="00844CF3">
      <w:pPr>
        <w:autoSpaceDE w:val="0"/>
        <w:autoSpaceDN w:val="0"/>
        <w:adjustRightInd w:val="0"/>
        <w:spacing w:before="50" w:afterLines="50" w:after="156" w:line="400" w:lineRule="exact"/>
        <w:ind w:rightChars="20" w:right="42" w:firstLineChars="200" w:firstLine="482"/>
        <w:jc w:val="left"/>
        <w:outlineLvl w:val="0"/>
        <w:rPr>
          <w:b/>
          <w:color w:val="000000"/>
          <w:sz w:val="24"/>
        </w:rPr>
      </w:pPr>
      <w:r w:rsidRPr="00E047E3">
        <w:rPr>
          <w:b/>
          <w:color w:val="000000"/>
          <w:sz w:val="24"/>
        </w:rPr>
        <w:t>三、独立董事意见</w:t>
      </w:r>
    </w:p>
    <w:p w:rsidR="00844CF3" w:rsidRPr="00E047E3" w:rsidRDefault="00844CF3" w:rsidP="00844CF3">
      <w:pPr>
        <w:autoSpaceDE w:val="0"/>
        <w:autoSpaceDN w:val="0"/>
        <w:adjustRightInd w:val="0"/>
        <w:spacing w:before="50" w:afterLines="50" w:after="156" w:line="400" w:lineRule="exact"/>
        <w:ind w:rightChars="20" w:right="42" w:firstLineChars="200" w:firstLine="480"/>
        <w:jc w:val="left"/>
        <w:rPr>
          <w:color w:val="000000"/>
          <w:sz w:val="24"/>
        </w:rPr>
      </w:pPr>
      <w:r w:rsidRPr="00E047E3">
        <w:rPr>
          <w:color w:val="000000"/>
          <w:sz w:val="24"/>
        </w:rPr>
        <w:t>本议案提交董事会审议前，已经</w:t>
      </w:r>
      <w:r w:rsidRPr="00E047E3">
        <w:rPr>
          <w:rFonts w:hint="eastAsia"/>
          <w:color w:val="000000"/>
          <w:sz w:val="24"/>
        </w:rPr>
        <w:t>三</w:t>
      </w:r>
      <w:r w:rsidRPr="00E047E3">
        <w:rPr>
          <w:color w:val="000000"/>
          <w:sz w:val="24"/>
        </w:rPr>
        <w:t>位独立董事审查并认可。独立董事认为：公司此项与关联方发生的关联交易系公司生产经营中正常业务行为，双方交易遵循了客观、公平、公允的原则，交易价格根据市场价格确定，不存在损害公司和其他非关联方股东的利益。董事会在审议此关</w:t>
      </w:r>
      <w:r>
        <w:rPr>
          <w:color w:val="000000"/>
          <w:sz w:val="24"/>
        </w:rPr>
        <w:t>联交易事项时，关联董事孙伟挺先生、陈玲芬女士、张际松先生、</w:t>
      </w:r>
      <w:r>
        <w:rPr>
          <w:rFonts w:hint="eastAsia"/>
          <w:color w:val="000000"/>
          <w:sz w:val="24"/>
        </w:rPr>
        <w:t>孙小挺</w:t>
      </w:r>
      <w:r w:rsidRPr="00E047E3">
        <w:rPr>
          <w:color w:val="000000"/>
          <w:sz w:val="24"/>
        </w:rPr>
        <w:t>先生回避表决，表决程序合法、有效，且符合有关法律、法规、《公司章程》的规定。</w:t>
      </w:r>
    </w:p>
    <w:p w:rsidR="00844CF3" w:rsidRPr="00027B3C" w:rsidRDefault="00844CF3" w:rsidP="00844CF3">
      <w:pPr>
        <w:autoSpaceDE w:val="0"/>
        <w:autoSpaceDN w:val="0"/>
        <w:adjustRightInd w:val="0"/>
        <w:spacing w:before="50" w:afterLines="50" w:after="156" w:line="400" w:lineRule="exact"/>
        <w:ind w:rightChars="20" w:right="42" w:firstLineChars="196" w:firstLine="472"/>
        <w:jc w:val="left"/>
        <w:outlineLvl w:val="0"/>
        <w:rPr>
          <w:b/>
          <w:color w:val="000000"/>
          <w:sz w:val="24"/>
        </w:rPr>
      </w:pPr>
      <w:r w:rsidRPr="00027B3C">
        <w:rPr>
          <w:b/>
          <w:color w:val="000000"/>
          <w:sz w:val="24"/>
        </w:rPr>
        <w:t>四、备查文件</w:t>
      </w:r>
    </w:p>
    <w:p w:rsidR="00844CF3" w:rsidRDefault="00844CF3" w:rsidP="00844CF3">
      <w:pPr>
        <w:autoSpaceDE w:val="0"/>
        <w:autoSpaceDN w:val="0"/>
        <w:adjustRightInd w:val="0"/>
        <w:spacing w:line="400" w:lineRule="exact"/>
        <w:ind w:rightChars="20" w:right="42" w:firstLineChars="200" w:firstLine="480"/>
        <w:jc w:val="left"/>
        <w:rPr>
          <w:color w:val="000000"/>
          <w:kern w:val="0"/>
          <w:sz w:val="24"/>
        </w:rPr>
      </w:pPr>
      <w:r w:rsidRPr="00027B3C">
        <w:rPr>
          <w:color w:val="000000"/>
          <w:kern w:val="0"/>
          <w:sz w:val="24"/>
        </w:rPr>
        <w:t>1</w:t>
      </w:r>
      <w:r w:rsidRPr="00027B3C">
        <w:rPr>
          <w:color w:val="000000"/>
          <w:kern w:val="0"/>
          <w:sz w:val="24"/>
        </w:rPr>
        <w:t>、</w:t>
      </w:r>
      <w:r w:rsidR="005637B5">
        <w:rPr>
          <w:rFonts w:hint="eastAsia"/>
          <w:color w:val="000000"/>
          <w:kern w:val="0"/>
          <w:sz w:val="24"/>
        </w:rPr>
        <w:t>公司</w:t>
      </w:r>
      <w:r>
        <w:rPr>
          <w:color w:val="000000"/>
          <w:kern w:val="0"/>
          <w:sz w:val="24"/>
        </w:rPr>
        <w:t>第</w:t>
      </w:r>
      <w:r>
        <w:rPr>
          <w:rFonts w:hint="eastAsia"/>
          <w:color w:val="000000"/>
          <w:kern w:val="0"/>
          <w:sz w:val="24"/>
        </w:rPr>
        <w:t>六</w:t>
      </w:r>
      <w:r w:rsidRPr="00027B3C">
        <w:rPr>
          <w:color w:val="000000"/>
          <w:kern w:val="0"/>
          <w:sz w:val="24"/>
        </w:rPr>
        <w:t>届董事会第</w:t>
      </w:r>
      <w:r w:rsidR="005637B5">
        <w:rPr>
          <w:rFonts w:hint="eastAsia"/>
          <w:color w:val="000000"/>
          <w:kern w:val="0"/>
          <w:sz w:val="24"/>
        </w:rPr>
        <w:t>七</w:t>
      </w:r>
      <w:r w:rsidRPr="00027B3C">
        <w:rPr>
          <w:color w:val="000000"/>
          <w:kern w:val="0"/>
          <w:sz w:val="24"/>
        </w:rPr>
        <w:t>次会议决议；</w:t>
      </w:r>
    </w:p>
    <w:p w:rsidR="00844CF3" w:rsidRPr="00027B3C" w:rsidRDefault="00844CF3" w:rsidP="00844CF3">
      <w:pPr>
        <w:autoSpaceDE w:val="0"/>
        <w:autoSpaceDN w:val="0"/>
        <w:adjustRightInd w:val="0"/>
        <w:spacing w:line="400" w:lineRule="exact"/>
        <w:ind w:rightChars="20" w:right="42" w:firstLineChars="200" w:firstLine="480"/>
        <w:jc w:val="left"/>
        <w:rPr>
          <w:color w:val="000000"/>
          <w:kern w:val="0"/>
          <w:sz w:val="24"/>
        </w:rPr>
      </w:pPr>
      <w:r>
        <w:rPr>
          <w:rFonts w:hint="eastAsia"/>
          <w:color w:val="000000"/>
          <w:kern w:val="0"/>
          <w:sz w:val="24"/>
        </w:rPr>
        <w:t>2</w:t>
      </w:r>
      <w:r w:rsidRPr="00027B3C">
        <w:rPr>
          <w:color w:val="000000"/>
          <w:kern w:val="0"/>
          <w:sz w:val="24"/>
        </w:rPr>
        <w:t>、</w:t>
      </w:r>
      <w:r w:rsidR="005637B5">
        <w:rPr>
          <w:rFonts w:hint="eastAsia"/>
          <w:color w:val="000000"/>
          <w:kern w:val="0"/>
          <w:sz w:val="24"/>
        </w:rPr>
        <w:t>公司</w:t>
      </w:r>
      <w:r>
        <w:rPr>
          <w:rFonts w:hint="eastAsia"/>
          <w:color w:val="000000"/>
          <w:kern w:val="0"/>
          <w:sz w:val="24"/>
        </w:rPr>
        <w:t>第六届监事会第</w:t>
      </w:r>
      <w:r w:rsidR="00E453C9">
        <w:rPr>
          <w:rFonts w:hint="eastAsia"/>
          <w:color w:val="000000"/>
          <w:kern w:val="0"/>
          <w:sz w:val="24"/>
        </w:rPr>
        <w:t>十</w:t>
      </w:r>
      <w:r w:rsidR="005637B5">
        <w:rPr>
          <w:rFonts w:hint="eastAsia"/>
          <w:color w:val="000000"/>
          <w:kern w:val="0"/>
          <w:sz w:val="24"/>
        </w:rPr>
        <w:t>二</w:t>
      </w:r>
      <w:r>
        <w:rPr>
          <w:rFonts w:hint="eastAsia"/>
          <w:color w:val="000000"/>
          <w:kern w:val="0"/>
          <w:sz w:val="24"/>
        </w:rPr>
        <w:t>次会议决议；</w:t>
      </w:r>
    </w:p>
    <w:p w:rsidR="00844CF3" w:rsidRPr="00890D79" w:rsidRDefault="00844CF3" w:rsidP="00844CF3">
      <w:pPr>
        <w:autoSpaceDE w:val="0"/>
        <w:autoSpaceDN w:val="0"/>
        <w:adjustRightInd w:val="0"/>
        <w:spacing w:line="400" w:lineRule="exact"/>
        <w:ind w:rightChars="20" w:right="42" w:firstLineChars="200" w:firstLine="480"/>
        <w:jc w:val="left"/>
        <w:rPr>
          <w:color w:val="000000"/>
          <w:kern w:val="0"/>
          <w:sz w:val="24"/>
        </w:rPr>
      </w:pPr>
      <w:r w:rsidRPr="00890D79">
        <w:rPr>
          <w:color w:val="000000"/>
          <w:sz w:val="24"/>
        </w:rPr>
        <w:t>2</w:t>
      </w:r>
      <w:r w:rsidRPr="00890D79">
        <w:rPr>
          <w:color w:val="000000"/>
          <w:sz w:val="24"/>
        </w:rPr>
        <w:t>、</w:t>
      </w:r>
      <w:r>
        <w:rPr>
          <w:color w:val="000000"/>
          <w:kern w:val="0"/>
          <w:sz w:val="24"/>
        </w:rPr>
        <w:t>公司独立董事关于本次关联交易的独立意见</w:t>
      </w:r>
      <w:r>
        <w:rPr>
          <w:rFonts w:hint="eastAsia"/>
          <w:color w:val="000000"/>
          <w:kern w:val="0"/>
          <w:sz w:val="24"/>
        </w:rPr>
        <w:t>。</w:t>
      </w:r>
    </w:p>
    <w:p w:rsidR="00844CF3" w:rsidRPr="00D37FA0" w:rsidRDefault="00844CF3" w:rsidP="00844CF3">
      <w:pPr>
        <w:autoSpaceDE w:val="0"/>
        <w:autoSpaceDN w:val="0"/>
        <w:adjustRightInd w:val="0"/>
        <w:spacing w:line="400" w:lineRule="exact"/>
        <w:ind w:rightChars="20" w:right="42" w:firstLineChars="200" w:firstLine="480"/>
        <w:jc w:val="left"/>
        <w:rPr>
          <w:color w:val="000000"/>
          <w:kern w:val="0"/>
          <w:sz w:val="24"/>
          <w:highlight w:val="yellow"/>
        </w:rPr>
      </w:pPr>
    </w:p>
    <w:p w:rsidR="00844CF3" w:rsidRPr="00777507" w:rsidRDefault="00844CF3" w:rsidP="00844CF3">
      <w:pPr>
        <w:pStyle w:val="a3"/>
        <w:spacing w:line="400" w:lineRule="exact"/>
        <w:ind w:rightChars="20" w:right="42"/>
        <w:rPr>
          <w:color w:val="000000"/>
          <w:sz w:val="24"/>
        </w:rPr>
      </w:pPr>
      <w:r w:rsidRPr="00777507">
        <w:rPr>
          <w:color w:val="000000"/>
          <w:sz w:val="24"/>
        </w:rPr>
        <w:t>特此公告。</w:t>
      </w:r>
    </w:p>
    <w:p w:rsidR="00844CF3" w:rsidRPr="00777507" w:rsidRDefault="00844CF3" w:rsidP="00844CF3">
      <w:pPr>
        <w:pStyle w:val="a3"/>
        <w:spacing w:line="400" w:lineRule="exact"/>
        <w:ind w:rightChars="20" w:right="42"/>
        <w:rPr>
          <w:color w:val="000000"/>
          <w:sz w:val="24"/>
        </w:rPr>
      </w:pPr>
    </w:p>
    <w:p w:rsidR="00844CF3" w:rsidRPr="00777507" w:rsidRDefault="00844CF3" w:rsidP="00844CF3">
      <w:pPr>
        <w:pStyle w:val="a3"/>
        <w:spacing w:line="400" w:lineRule="exact"/>
        <w:ind w:rightChars="20" w:right="42"/>
        <w:jc w:val="right"/>
        <w:rPr>
          <w:color w:val="000000"/>
          <w:sz w:val="24"/>
        </w:rPr>
      </w:pPr>
      <w:r w:rsidRPr="00777507">
        <w:rPr>
          <w:color w:val="000000"/>
          <w:sz w:val="24"/>
        </w:rPr>
        <w:t xml:space="preserve">                                       </w:t>
      </w:r>
      <w:r w:rsidRPr="00777507">
        <w:rPr>
          <w:color w:val="000000"/>
          <w:sz w:val="24"/>
        </w:rPr>
        <w:t>华孚色纺股份有限公司董事会</w:t>
      </w:r>
    </w:p>
    <w:p w:rsidR="00844CF3" w:rsidRPr="00777507" w:rsidRDefault="00844CF3" w:rsidP="00844CF3">
      <w:pPr>
        <w:ind w:rightChars="20" w:right="42"/>
        <w:jc w:val="right"/>
        <w:rPr>
          <w:color w:val="000000"/>
          <w:sz w:val="24"/>
        </w:rPr>
      </w:pPr>
      <w:r w:rsidRPr="00777507">
        <w:rPr>
          <w:color w:val="000000"/>
          <w:sz w:val="24"/>
        </w:rPr>
        <w:t>二〇一</w:t>
      </w:r>
      <w:r w:rsidR="00E453C9">
        <w:rPr>
          <w:rFonts w:hint="eastAsia"/>
          <w:color w:val="000000"/>
          <w:sz w:val="24"/>
        </w:rPr>
        <w:t>七</w:t>
      </w:r>
      <w:r w:rsidRPr="00777507">
        <w:rPr>
          <w:color w:val="000000"/>
          <w:sz w:val="24"/>
        </w:rPr>
        <w:t>年</w:t>
      </w:r>
      <w:r w:rsidR="001C595D">
        <w:rPr>
          <w:rFonts w:hint="eastAsia"/>
          <w:color w:val="000000"/>
          <w:sz w:val="24"/>
        </w:rPr>
        <w:t>四</w:t>
      </w:r>
      <w:r w:rsidRPr="00777507">
        <w:rPr>
          <w:color w:val="000000"/>
          <w:sz w:val="24"/>
        </w:rPr>
        <w:t>月</w:t>
      </w:r>
      <w:r w:rsidR="00E453C9">
        <w:rPr>
          <w:rFonts w:hint="eastAsia"/>
          <w:color w:val="000000"/>
          <w:sz w:val="24"/>
        </w:rPr>
        <w:t>二十</w:t>
      </w:r>
      <w:r w:rsidR="005637B5">
        <w:rPr>
          <w:rFonts w:hint="eastAsia"/>
          <w:color w:val="000000"/>
          <w:sz w:val="24"/>
        </w:rPr>
        <w:t>五</w:t>
      </w:r>
      <w:r w:rsidRPr="00777507">
        <w:rPr>
          <w:color w:val="000000"/>
          <w:sz w:val="24"/>
        </w:rPr>
        <w:t>日</w:t>
      </w:r>
    </w:p>
    <w:p w:rsidR="00844CF3" w:rsidRPr="00777507" w:rsidRDefault="00844CF3" w:rsidP="00844CF3">
      <w:pPr>
        <w:rPr>
          <w:sz w:val="24"/>
        </w:rPr>
      </w:pPr>
    </w:p>
    <w:p w:rsidR="00844CF3" w:rsidRPr="00777507" w:rsidRDefault="00844CF3" w:rsidP="00844CF3">
      <w:pPr>
        <w:rPr>
          <w:sz w:val="24"/>
        </w:rPr>
      </w:pPr>
    </w:p>
    <w:p w:rsidR="00844CF3" w:rsidRPr="00777507" w:rsidRDefault="00844CF3" w:rsidP="00844CF3">
      <w:pPr>
        <w:rPr>
          <w:sz w:val="24"/>
        </w:rPr>
      </w:pPr>
    </w:p>
    <w:p w:rsidR="00844CF3" w:rsidRPr="00777507" w:rsidRDefault="00844CF3" w:rsidP="00844CF3">
      <w:pPr>
        <w:jc w:val="center"/>
        <w:rPr>
          <w:sz w:val="24"/>
        </w:rPr>
      </w:pPr>
    </w:p>
    <w:p w:rsidR="0060371E" w:rsidRDefault="0060371E"/>
    <w:sectPr w:rsidR="0060371E" w:rsidSect="00E52A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86F" w:rsidRDefault="0050786F" w:rsidP="001C595D">
      <w:r>
        <w:separator/>
      </w:r>
    </w:p>
  </w:endnote>
  <w:endnote w:type="continuationSeparator" w:id="0">
    <w:p w:rsidR="0050786F" w:rsidRDefault="0050786F" w:rsidP="001C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86F" w:rsidRDefault="0050786F" w:rsidP="001C595D">
      <w:r>
        <w:separator/>
      </w:r>
    </w:p>
  </w:footnote>
  <w:footnote w:type="continuationSeparator" w:id="0">
    <w:p w:rsidR="0050786F" w:rsidRDefault="0050786F" w:rsidP="001C5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F3"/>
    <w:rsid w:val="000642F7"/>
    <w:rsid w:val="000F5AF9"/>
    <w:rsid w:val="00110CA2"/>
    <w:rsid w:val="00160828"/>
    <w:rsid w:val="00171561"/>
    <w:rsid w:val="001834CB"/>
    <w:rsid w:val="00191D49"/>
    <w:rsid w:val="00197828"/>
    <w:rsid w:val="001B3603"/>
    <w:rsid w:val="001C595D"/>
    <w:rsid w:val="00250E0B"/>
    <w:rsid w:val="00287EF9"/>
    <w:rsid w:val="0032639B"/>
    <w:rsid w:val="00373F5F"/>
    <w:rsid w:val="003A0AED"/>
    <w:rsid w:val="003E1982"/>
    <w:rsid w:val="003E3AAF"/>
    <w:rsid w:val="004311AF"/>
    <w:rsid w:val="004E7761"/>
    <w:rsid w:val="0050786F"/>
    <w:rsid w:val="005637B5"/>
    <w:rsid w:val="00564642"/>
    <w:rsid w:val="00583371"/>
    <w:rsid w:val="005C381B"/>
    <w:rsid w:val="005C6441"/>
    <w:rsid w:val="006036A9"/>
    <w:rsid w:val="0060371E"/>
    <w:rsid w:val="00630782"/>
    <w:rsid w:val="00666BB4"/>
    <w:rsid w:val="00677B15"/>
    <w:rsid w:val="006822AB"/>
    <w:rsid w:val="00697973"/>
    <w:rsid w:val="00762283"/>
    <w:rsid w:val="007B2470"/>
    <w:rsid w:val="007E7191"/>
    <w:rsid w:val="0082793D"/>
    <w:rsid w:val="00832685"/>
    <w:rsid w:val="00841BE8"/>
    <w:rsid w:val="00844CF3"/>
    <w:rsid w:val="00862A46"/>
    <w:rsid w:val="0087067A"/>
    <w:rsid w:val="008C75BA"/>
    <w:rsid w:val="009073FC"/>
    <w:rsid w:val="00943358"/>
    <w:rsid w:val="00983991"/>
    <w:rsid w:val="009D0419"/>
    <w:rsid w:val="00A22881"/>
    <w:rsid w:val="00A5220F"/>
    <w:rsid w:val="00AB3D44"/>
    <w:rsid w:val="00AC591E"/>
    <w:rsid w:val="00B2155E"/>
    <w:rsid w:val="00BD6C29"/>
    <w:rsid w:val="00BF13AE"/>
    <w:rsid w:val="00BF532E"/>
    <w:rsid w:val="00C80767"/>
    <w:rsid w:val="00CF0030"/>
    <w:rsid w:val="00D851B2"/>
    <w:rsid w:val="00DA360D"/>
    <w:rsid w:val="00DE256E"/>
    <w:rsid w:val="00DF3EEE"/>
    <w:rsid w:val="00E453C9"/>
    <w:rsid w:val="00F01039"/>
    <w:rsid w:val="00F24AF2"/>
    <w:rsid w:val="00F54AEF"/>
    <w:rsid w:val="00F758CC"/>
    <w:rsid w:val="00FB475C"/>
    <w:rsid w:val="00FB7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C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44CF3"/>
    <w:pPr>
      <w:spacing w:after="120"/>
      <w:ind w:leftChars="200" w:left="420"/>
    </w:pPr>
  </w:style>
  <w:style w:type="character" w:customStyle="1" w:styleId="Char">
    <w:name w:val="正文文本缩进 Char"/>
    <w:basedOn w:val="a0"/>
    <w:link w:val="a3"/>
    <w:rsid w:val="00844CF3"/>
    <w:rPr>
      <w:rFonts w:ascii="Times New Roman" w:eastAsia="宋体" w:hAnsi="Times New Roman" w:cs="Times New Roman"/>
      <w:szCs w:val="24"/>
    </w:rPr>
  </w:style>
  <w:style w:type="paragraph" w:styleId="a4">
    <w:name w:val="header"/>
    <w:basedOn w:val="a"/>
    <w:link w:val="Char0"/>
    <w:uiPriority w:val="99"/>
    <w:unhideWhenUsed/>
    <w:rsid w:val="001C5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C595D"/>
    <w:rPr>
      <w:rFonts w:ascii="Times New Roman" w:eastAsia="宋体" w:hAnsi="Times New Roman" w:cs="Times New Roman"/>
      <w:sz w:val="18"/>
      <w:szCs w:val="18"/>
    </w:rPr>
  </w:style>
  <w:style w:type="paragraph" w:styleId="a5">
    <w:name w:val="footer"/>
    <w:basedOn w:val="a"/>
    <w:link w:val="Char1"/>
    <w:uiPriority w:val="99"/>
    <w:unhideWhenUsed/>
    <w:rsid w:val="001C595D"/>
    <w:pPr>
      <w:tabs>
        <w:tab w:val="center" w:pos="4153"/>
        <w:tab w:val="right" w:pos="8306"/>
      </w:tabs>
      <w:snapToGrid w:val="0"/>
      <w:jc w:val="left"/>
    </w:pPr>
    <w:rPr>
      <w:sz w:val="18"/>
      <w:szCs w:val="18"/>
    </w:rPr>
  </w:style>
  <w:style w:type="character" w:customStyle="1" w:styleId="Char1">
    <w:name w:val="页脚 Char"/>
    <w:basedOn w:val="a0"/>
    <w:link w:val="a5"/>
    <w:uiPriority w:val="99"/>
    <w:rsid w:val="001C59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296</Words>
  <Characters>1690</Characters>
  <Application>Microsoft Office Word</Application>
  <DocSecurity>0</DocSecurity>
  <Lines>14</Lines>
  <Paragraphs>3</Paragraphs>
  <ScaleCrop>false</ScaleCrop>
  <Company>Lenovo</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34</cp:revision>
  <dcterms:created xsi:type="dcterms:W3CDTF">2017-02-16T01:37:00Z</dcterms:created>
  <dcterms:modified xsi:type="dcterms:W3CDTF">2017-04-21T07:43:00Z</dcterms:modified>
</cp:coreProperties>
</file>