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4A" w:rsidRPr="00877C60" w:rsidRDefault="00D7554A" w:rsidP="00D7554A">
      <w:pPr>
        <w:spacing w:line="440" w:lineRule="exact"/>
        <w:jc w:val="center"/>
        <w:rPr>
          <w:rFonts w:ascii="Times New Roman" w:hAnsi="Times New Roman"/>
          <w:b/>
          <w:bCs/>
          <w:kern w:val="0"/>
          <w:sz w:val="24"/>
          <w:szCs w:val="21"/>
        </w:rPr>
      </w:pPr>
      <w:r w:rsidRPr="00877C60">
        <w:rPr>
          <w:rFonts w:ascii="Times New Roman" w:hAnsi="Times New Roman"/>
          <w:b/>
          <w:bCs/>
          <w:kern w:val="0"/>
          <w:sz w:val="24"/>
          <w:szCs w:val="21"/>
        </w:rPr>
        <w:t>证券代码：</w:t>
      </w:r>
      <w:r w:rsidRPr="00877C60">
        <w:rPr>
          <w:rFonts w:ascii="Times New Roman" w:hAnsi="Times New Roman"/>
          <w:b/>
          <w:bCs/>
          <w:kern w:val="0"/>
          <w:sz w:val="24"/>
          <w:szCs w:val="21"/>
        </w:rPr>
        <w:t xml:space="preserve">002042         </w:t>
      </w:r>
      <w:r w:rsidRPr="00877C60">
        <w:rPr>
          <w:rFonts w:ascii="Times New Roman" w:hAnsi="Times New Roman"/>
          <w:b/>
          <w:bCs/>
          <w:kern w:val="0"/>
          <w:sz w:val="24"/>
          <w:szCs w:val="21"/>
        </w:rPr>
        <w:t>证券简称：华孚色纺</w:t>
      </w:r>
      <w:r w:rsidRPr="00877C60">
        <w:rPr>
          <w:rFonts w:ascii="Times New Roman" w:hAnsi="Times New Roman"/>
          <w:b/>
          <w:bCs/>
          <w:kern w:val="0"/>
          <w:sz w:val="24"/>
          <w:szCs w:val="21"/>
        </w:rPr>
        <w:t xml:space="preserve">       </w:t>
      </w:r>
      <w:r w:rsidRPr="00877C60">
        <w:rPr>
          <w:rFonts w:ascii="Times New Roman" w:hAnsi="Times New Roman"/>
          <w:b/>
          <w:bCs/>
          <w:kern w:val="0"/>
          <w:sz w:val="24"/>
          <w:szCs w:val="21"/>
        </w:rPr>
        <w:t>公告编号：</w:t>
      </w:r>
      <w:r w:rsidRPr="00877C60">
        <w:rPr>
          <w:rFonts w:ascii="Times New Roman" w:hAnsi="Times New Roman"/>
          <w:b/>
          <w:bCs/>
          <w:kern w:val="0"/>
          <w:sz w:val="24"/>
          <w:szCs w:val="21"/>
        </w:rPr>
        <w:t>201</w:t>
      </w:r>
      <w:r>
        <w:rPr>
          <w:rFonts w:ascii="Times New Roman" w:hAnsi="Times New Roman" w:hint="eastAsia"/>
          <w:b/>
          <w:bCs/>
          <w:kern w:val="0"/>
          <w:sz w:val="24"/>
          <w:szCs w:val="21"/>
        </w:rPr>
        <w:t>7-10</w:t>
      </w:r>
    </w:p>
    <w:p w:rsidR="00D7554A" w:rsidRPr="002A48DA" w:rsidRDefault="00D7554A" w:rsidP="00D7554A">
      <w:pPr>
        <w:autoSpaceDE w:val="0"/>
        <w:autoSpaceDN w:val="0"/>
        <w:adjustRightInd w:val="0"/>
        <w:jc w:val="center"/>
        <w:rPr>
          <w:rFonts w:ascii="Times New Roman" w:hAnsi="Times New Roman"/>
          <w:kern w:val="0"/>
          <w:sz w:val="36"/>
          <w:szCs w:val="36"/>
        </w:rPr>
      </w:pPr>
    </w:p>
    <w:p w:rsidR="00D7554A" w:rsidRPr="002C4CDB" w:rsidRDefault="00D7554A" w:rsidP="00D7554A">
      <w:pPr>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华孚色纺股份有限公司</w:t>
      </w:r>
    </w:p>
    <w:p w:rsidR="00D7554A" w:rsidRPr="002C4CDB" w:rsidRDefault="00D7554A" w:rsidP="00D7554A">
      <w:pPr>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第</w:t>
      </w:r>
      <w:r>
        <w:rPr>
          <w:rFonts w:ascii="Times New Roman" w:hAnsi="Times New Roman" w:hint="eastAsia"/>
          <w:b/>
          <w:kern w:val="0"/>
          <w:sz w:val="36"/>
          <w:szCs w:val="36"/>
        </w:rPr>
        <w:t>六</w:t>
      </w:r>
      <w:r w:rsidRPr="002C4CDB">
        <w:rPr>
          <w:rFonts w:ascii="Times New Roman" w:hAnsi="Times New Roman"/>
          <w:b/>
          <w:kern w:val="0"/>
          <w:sz w:val="36"/>
          <w:szCs w:val="36"/>
        </w:rPr>
        <w:t>届监事会第</w:t>
      </w:r>
      <w:r>
        <w:rPr>
          <w:rFonts w:ascii="Times New Roman" w:hAnsi="Times New Roman" w:hint="eastAsia"/>
          <w:b/>
          <w:kern w:val="0"/>
          <w:sz w:val="36"/>
          <w:szCs w:val="36"/>
        </w:rPr>
        <w:t>十二</w:t>
      </w:r>
      <w:r w:rsidRPr="002C4CDB">
        <w:rPr>
          <w:rFonts w:ascii="Times New Roman" w:hAnsi="Times New Roman"/>
          <w:b/>
          <w:kern w:val="0"/>
          <w:sz w:val="36"/>
          <w:szCs w:val="36"/>
        </w:rPr>
        <w:t>次会议决议公告</w:t>
      </w:r>
    </w:p>
    <w:p w:rsidR="00D7554A" w:rsidRPr="002A48DA" w:rsidRDefault="00D7554A" w:rsidP="00D7554A">
      <w:pPr>
        <w:autoSpaceDE w:val="0"/>
        <w:autoSpaceDN w:val="0"/>
        <w:adjustRightInd w:val="0"/>
        <w:ind w:firstLineChars="200" w:firstLine="480"/>
        <w:jc w:val="left"/>
        <w:rPr>
          <w:rFonts w:ascii="Times New Roman" w:eastAsia="楷体_GB2312" w:hAnsi="Times New Roman"/>
          <w:kern w:val="0"/>
          <w:sz w:val="24"/>
          <w:szCs w:val="24"/>
        </w:rPr>
      </w:pPr>
    </w:p>
    <w:p w:rsidR="00D7554A" w:rsidRPr="002A48DA" w:rsidRDefault="00D7554A" w:rsidP="00D7554A">
      <w:pPr>
        <w:autoSpaceDE w:val="0"/>
        <w:autoSpaceDN w:val="0"/>
        <w:adjustRightInd w:val="0"/>
        <w:ind w:firstLineChars="200" w:firstLine="480"/>
        <w:jc w:val="left"/>
        <w:rPr>
          <w:rFonts w:ascii="Times New Roman" w:eastAsia="楷体_GB2312" w:hAnsi="Times New Roman"/>
          <w:kern w:val="0"/>
          <w:sz w:val="24"/>
          <w:szCs w:val="24"/>
        </w:rPr>
      </w:pPr>
      <w:r w:rsidRPr="002A48DA">
        <w:rPr>
          <w:rFonts w:ascii="Times New Roman" w:eastAsia="楷体_GB2312" w:hAnsi="Times New Roman"/>
          <w:kern w:val="0"/>
          <w:sz w:val="24"/>
          <w:szCs w:val="24"/>
        </w:rPr>
        <w:t>本公司及监事会全体成员保证信息披露的内容真实、准确、完整，没有虚假记载、误导性陈述或重大遗漏。</w:t>
      </w:r>
    </w:p>
    <w:p w:rsidR="00D7554A" w:rsidRPr="004F71BE" w:rsidRDefault="00D7554A" w:rsidP="00D7554A">
      <w:pPr>
        <w:spacing w:before="100" w:beforeAutospacing="1" w:after="100" w:afterAutospacing="1" w:line="360" w:lineRule="auto"/>
        <w:ind w:firstLineChars="196" w:firstLine="470"/>
        <w:rPr>
          <w:rFonts w:ascii="Times New Roman" w:hAnsi="Times New Roman"/>
          <w:kern w:val="0"/>
          <w:sz w:val="24"/>
          <w:szCs w:val="24"/>
        </w:rPr>
      </w:pPr>
      <w:r w:rsidRPr="00F7735F">
        <w:rPr>
          <w:rFonts w:ascii="Times New Roman" w:hAnsi="Times New Roman"/>
          <w:kern w:val="0"/>
          <w:sz w:val="24"/>
          <w:szCs w:val="24"/>
        </w:rPr>
        <w:t>华孚色</w:t>
      </w:r>
      <w:r w:rsidRPr="005A6A28">
        <w:rPr>
          <w:rFonts w:ascii="Times New Roman" w:hAnsi="Times New Roman"/>
          <w:kern w:val="0"/>
          <w:sz w:val="24"/>
          <w:szCs w:val="24"/>
        </w:rPr>
        <w:t>纺股份有限公司（以下简称</w:t>
      </w:r>
      <w:r>
        <w:rPr>
          <w:rFonts w:ascii="Times New Roman" w:hAnsi="Times New Roman" w:hint="eastAsia"/>
          <w:kern w:val="0"/>
          <w:sz w:val="24"/>
          <w:szCs w:val="24"/>
        </w:rPr>
        <w:t>“</w:t>
      </w:r>
      <w:r w:rsidRPr="005A6A28">
        <w:rPr>
          <w:rFonts w:ascii="Times New Roman" w:hAnsi="Times New Roman"/>
          <w:kern w:val="0"/>
          <w:sz w:val="24"/>
          <w:szCs w:val="24"/>
        </w:rPr>
        <w:t>公司</w:t>
      </w:r>
      <w:r>
        <w:rPr>
          <w:rFonts w:ascii="Times New Roman" w:hAnsi="Times New Roman" w:hint="eastAsia"/>
          <w:kern w:val="0"/>
          <w:sz w:val="24"/>
          <w:szCs w:val="24"/>
        </w:rPr>
        <w:t>”</w:t>
      </w:r>
      <w:r w:rsidRPr="005A6A28">
        <w:rPr>
          <w:rFonts w:ascii="Times New Roman" w:hAnsi="Times New Roman"/>
          <w:kern w:val="0"/>
          <w:sz w:val="24"/>
          <w:szCs w:val="24"/>
        </w:rPr>
        <w:t>）监事会于</w:t>
      </w:r>
      <w:r w:rsidRPr="005A6A28">
        <w:rPr>
          <w:rFonts w:ascii="Times New Roman" w:hAnsi="Times New Roman"/>
          <w:kern w:val="0"/>
          <w:sz w:val="24"/>
          <w:szCs w:val="24"/>
        </w:rPr>
        <w:t>201</w:t>
      </w:r>
      <w:r>
        <w:rPr>
          <w:rFonts w:ascii="Times New Roman" w:hAnsi="Times New Roman" w:hint="eastAsia"/>
          <w:kern w:val="0"/>
          <w:sz w:val="24"/>
          <w:szCs w:val="24"/>
        </w:rPr>
        <w:t>7</w:t>
      </w:r>
      <w:r w:rsidRPr="005A6A28">
        <w:rPr>
          <w:rFonts w:ascii="Times New Roman" w:hAnsi="Times New Roman"/>
          <w:kern w:val="0"/>
          <w:sz w:val="24"/>
          <w:szCs w:val="24"/>
        </w:rPr>
        <w:t>年</w:t>
      </w:r>
      <w:r>
        <w:rPr>
          <w:rFonts w:ascii="Times New Roman" w:hAnsi="Times New Roman" w:hint="eastAsia"/>
          <w:kern w:val="0"/>
          <w:sz w:val="24"/>
          <w:szCs w:val="24"/>
        </w:rPr>
        <w:t>4</w:t>
      </w:r>
      <w:r w:rsidRPr="005A6A28">
        <w:rPr>
          <w:rFonts w:ascii="Times New Roman" w:hAnsi="Times New Roman"/>
          <w:kern w:val="0"/>
          <w:sz w:val="24"/>
          <w:szCs w:val="24"/>
        </w:rPr>
        <w:t>月</w:t>
      </w:r>
      <w:r>
        <w:rPr>
          <w:rFonts w:ascii="Times New Roman" w:hAnsi="Times New Roman" w:hint="eastAsia"/>
          <w:kern w:val="0"/>
          <w:sz w:val="24"/>
          <w:szCs w:val="24"/>
        </w:rPr>
        <w:t>14</w:t>
      </w:r>
      <w:r w:rsidRPr="005A6A28">
        <w:rPr>
          <w:rFonts w:ascii="Times New Roman" w:hAnsi="Times New Roman"/>
          <w:kern w:val="0"/>
          <w:sz w:val="24"/>
          <w:szCs w:val="24"/>
        </w:rPr>
        <w:t>日以传真、电子邮件及书面送达等方式发出了召开第</w:t>
      </w:r>
      <w:r>
        <w:rPr>
          <w:rFonts w:ascii="Times New Roman" w:hAnsi="Times New Roman" w:hint="eastAsia"/>
          <w:kern w:val="0"/>
          <w:sz w:val="24"/>
          <w:szCs w:val="24"/>
        </w:rPr>
        <w:t>六</w:t>
      </w:r>
      <w:r w:rsidRPr="005A6A28">
        <w:rPr>
          <w:rFonts w:ascii="Times New Roman" w:hAnsi="Times New Roman"/>
          <w:kern w:val="0"/>
          <w:sz w:val="24"/>
          <w:szCs w:val="24"/>
        </w:rPr>
        <w:t>届监事会第</w:t>
      </w:r>
      <w:r>
        <w:rPr>
          <w:rFonts w:ascii="Times New Roman" w:hAnsi="Times New Roman" w:hint="eastAsia"/>
          <w:kern w:val="0"/>
          <w:sz w:val="24"/>
          <w:szCs w:val="24"/>
        </w:rPr>
        <w:t>十二</w:t>
      </w:r>
      <w:r w:rsidRPr="005A6A28">
        <w:rPr>
          <w:rFonts w:ascii="Times New Roman" w:hAnsi="Times New Roman"/>
          <w:kern w:val="0"/>
          <w:sz w:val="24"/>
          <w:szCs w:val="24"/>
        </w:rPr>
        <w:t>次会议的通知，于</w:t>
      </w:r>
      <w:r w:rsidRPr="00477B7A">
        <w:rPr>
          <w:rFonts w:ascii="Times New Roman" w:hAnsi="Times New Roman"/>
          <w:kern w:val="0"/>
          <w:sz w:val="24"/>
          <w:szCs w:val="24"/>
        </w:rPr>
        <w:t>201</w:t>
      </w:r>
      <w:r>
        <w:rPr>
          <w:rFonts w:ascii="Times New Roman" w:hAnsi="Times New Roman" w:hint="eastAsia"/>
          <w:kern w:val="0"/>
          <w:sz w:val="24"/>
          <w:szCs w:val="24"/>
        </w:rPr>
        <w:t>7</w:t>
      </w:r>
      <w:r w:rsidRPr="00477B7A">
        <w:rPr>
          <w:rFonts w:ascii="Times New Roman" w:hAnsi="Times New Roman"/>
          <w:kern w:val="0"/>
          <w:sz w:val="24"/>
          <w:szCs w:val="24"/>
        </w:rPr>
        <w:t>年</w:t>
      </w:r>
      <w:r>
        <w:rPr>
          <w:rFonts w:ascii="Times New Roman" w:hAnsi="Times New Roman" w:hint="eastAsia"/>
          <w:kern w:val="0"/>
          <w:sz w:val="24"/>
          <w:szCs w:val="24"/>
        </w:rPr>
        <w:t>4</w:t>
      </w:r>
      <w:r w:rsidRPr="00477B7A">
        <w:rPr>
          <w:rFonts w:ascii="Times New Roman" w:hAnsi="Times New Roman"/>
          <w:kern w:val="0"/>
          <w:sz w:val="24"/>
          <w:szCs w:val="24"/>
        </w:rPr>
        <w:t>月</w:t>
      </w:r>
      <w:r>
        <w:rPr>
          <w:rFonts w:ascii="Times New Roman" w:hAnsi="Times New Roman" w:hint="eastAsia"/>
          <w:kern w:val="0"/>
          <w:sz w:val="24"/>
          <w:szCs w:val="24"/>
        </w:rPr>
        <w:t>2</w:t>
      </w:r>
      <w:r w:rsidR="009B5F74">
        <w:rPr>
          <w:rFonts w:ascii="Times New Roman" w:hAnsi="Times New Roman" w:hint="eastAsia"/>
          <w:kern w:val="0"/>
          <w:sz w:val="24"/>
          <w:szCs w:val="24"/>
        </w:rPr>
        <w:t>4</w:t>
      </w:r>
      <w:r>
        <w:rPr>
          <w:rFonts w:ascii="Times New Roman" w:hAnsi="Times New Roman"/>
          <w:kern w:val="0"/>
          <w:sz w:val="24"/>
          <w:szCs w:val="24"/>
        </w:rPr>
        <w:t>日</w:t>
      </w:r>
      <w:r>
        <w:rPr>
          <w:rFonts w:ascii="Times New Roman" w:hAnsi="Times New Roman" w:hint="eastAsia"/>
          <w:kern w:val="0"/>
          <w:sz w:val="24"/>
          <w:szCs w:val="24"/>
        </w:rPr>
        <w:t>下</w:t>
      </w:r>
      <w:r w:rsidRPr="004F71BE">
        <w:rPr>
          <w:rFonts w:ascii="Times New Roman" w:hAnsi="Times New Roman"/>
          <w:kern w:val="0"/>
          <w:sz w:val="24"/>
          <w:szCs w:val="24"/>
        </w:rPr>
        <w:t>午</w:t>
      </w:r>
      <w:r>
        <w:rPr>
          <w:rFonts w:ascii="Times New Roman" w:hAnsi="Times New Roman" w:hint="eastAsia"/>
          <w:kern w:val="0"/>
          <w:sz w:val="24"/>
          <w:szCs w:val="24"/>
        </w:rPr>
        <w:t>14</w:t>
      </w:r>
      <w:r w:rsidRPr="004F71BE">
        <w:rPr>
          <w:rFonts w:ascii="Times New Roman" w:hAnsi="Times New Roman"/>
          <w:kern w:val="0"/>
          <w:sz w:val="24"/>
          <w:szCs w:val="24"/>
        </w:rPr>
        <w:t>时在深圳市福田区滨河大道</w:t>
      </w:r>
      <w:r w:rsidRPr="004F71BE">
        <w:rPr>
          <w:rFonts w:ascii="Times New Roman" w:hAnsi="Times New Roman"/>
          <w:kern w:val="0"/>
          <w:sz w:val="24"/>
          <w:szCs w:val="24"/>
        </w:rPr>
        <w:t>5022</w:t>
      </w:r>
      <w:r w:rsidRPr="004F71BE">
        <w:rPr>
          <w:rFonts w:ascii="Times New Roman" w:hAnsi="Times New Roman"/>
          <w:kern w:val="0"/>
          <w:sz w:val="24"/>
          <w:szCs w:val="24"/>
        </w:rPr>
        <w:t>号联合广场</w:t>
      </w:r>
      <w:r w:rsidRPr="004F71BE">
        <w:rPr>
          <w:rFonts w:ascii="Times New Roman" w:hAnsi="Times New Roman"/>
          <w:kern w:val="0"/>
          <w:sz w:val="24"/>
          <w:szCs w:val="24"/>
        </w:rPr>
        <w:t>B</w:t>
      </w:r>
      <w:r w:rsidRPr="004F71BE">
        <w:rPr>
          <w:rFonts w:ascii="Times New Roman" w:hAnsi="Times New Roman"/>
          <w:kern w:val="0"/>
          <w:sz w:val="24"/>
          <w:szCs w:val="24"/>
        </w:rPr>
        <w:t>座</w:t>
      </w:r>
      <w:r w:rsidRPr="004F71BE">
        <w:rPr>
          <w:rFonts w:ascii="Times New Roman" w:hAnsi="Times New Roman"/>
          <w:kern w:val="0"/>
          <w:sz w:val="24"/>
          <w:szCs w:val="24"/>
        </w:rPr>
        <w:t>14</w:t>
      </w:r>
      <w:r w:rsidRPr="004F71BE">
        <w:rPr>
          <w:rFonts w:ascii="Times New Roman" w:hAnsi="Times New Roman"/>
          <w:kern w:val="0"/>
          <w:sz w:val="24"/>
          <w:szCs w:val="24"/>
        </w:rPr>
        <w:t>楼会议室以现场</w:t>
      </w:r>
      <w:r w:rsidRPr="004F71BE">
        <w:rPr>
          <w:rFonts w:ascii="Times New Roman" w:hAnsi="Times New Roman" w:hint="eastAsia"/>
          <w:kern w:val="0"/>
          <w:sz w:val="24"/>
          <w:szCs w:val="24"/>
        </w:rPr>
        <w:t>加视频</w:t>
      </w:r>
      <w:r w:rsidRPr="004F71BE">
        <w:rPr>
          <w:rFonts w:ascii="Times New Roman" w:hAnsi="Times New Roman"/>
          <w:kern w:val="0"/>
          <w:sz w:val="24"/>
          <w:szCs w:val="24"/>
        </w:rPr>
        <w:t>方式召开。会议应出席监事</w:t>
      </w:r>
      <w:r w:rsidRPr="004F71BE">
        <w:rPr>
          <w:rFonts w:ascii="Times New Roman" w:hAnsi="Times New Roman"/>
          <w:kern w:val="0"/>
          <w:sz w:val="24"/>
          <w:szCs w:val="24"/>
        </w:rPr>
        <w:t>3</w:t>
      </w:r>
      <w:r w:rsidRPr="004F71BE">
        <w:rPr>
          <w:rFonts w:ascii="Times New Roman" w:hAnsi="Times New Roman"/>
          <w:kern w:val="0"/>
          <w:sz w:val="24"/>
          <w:szCs w:val="24"/>
        </w:rPr>
        <w:t>名，实际出席监事</w:t>
      </w:r>
      <w:r w:rsidRPr="004F71BE">
        <w:rPr>
          <w:rFonts w:ascii="Times New Roman" w:hAnsi="Times New Roman"/>
          <w:kern w:val="0"/>
          <w:sz w:val="24"/>
          <w:szCs w:val="24"/>
        </w:rPr>
        <w:t>3</w:t>
      </w:r>
      <w:r w:rsidRPr="004F71BE">
        <w:rPr>
          <w:rFonts w:ascii="Times New Roman" w:hAnsi="Times New Roman"/>
          <w:kern w:val="0"/>
          <w:sz w:val="24"/>
          <w:szCs w:val="24"/>
        </w:rPr>
        <w:t>名，监事会主席盛永月先生主持会议，本次会议符合《公司法》、《公司章程》的规定。</w:t>
      </w:r>
    </w:p>
    <w:p w:rsidR="00E21F16" w:rsidRPr="00C95CA0" w:rsidRDefault="00D7554A" w:rsidP="00C95CA0">
      <w:pPr>
        <w:spacing w:before="100" w:beforeAutospacing="1" w:after="100" w:afterAutospacing="1" w:line="360" w:lineRule="auto"/>
        <w:ind w:firstLineChars="196" w:firstLine="472"/>
        <w:rPr>
          <w:rFonts w:ascii="Times New Roman" w:hAnsi="Times New Roman"/>
          <w:b/>
          <w:sz w:val="24"/>
          <w:szCs w:val="24"/>
        </w:rPr>
      </w:pPr>
      <w:r w:rsidRPr="00C95CA0">
        <w:rPr>
          <w:rFonts w:ascii="Times New Roman" w:hAnsi="Times New Roman"/>
          <w:b/>
          <w:sz w:val="24"/>
          <w:szCs w:val="24"/>
        </w:rPr>
        <w:t>一、以</w:t>
      </w:r>
      <w:r w:rsidRPr="00C95CA0">
        <w:rPr>
          <w:rFonts w:ascii="Times New Roman" w:hAnsi="Times New Roman"/>
          <w:b/>
          <w:sz w:val="24"/>
          <w:szCs w:val="24"/>
        </w:rPr>
        <w:t>3</w:t>
      </w:r>
      <w:r w:rsidRPr="00C95CA0">
        <w:rPr>
          <w:rFonts w:ascii="Times New Roman" w:hAnsi="Times New Roman"/>
          <w:b/>
          <w:sz w:val="24"/>
          <w:szCs w:val="24"/>
        </w:rPr>
        <w:t>票赞成、</w:t>
      </w:r>
      <w:r w:rsidRPr="00C95CA0">
        <w:rPr>
          <w:rFonts w:ascii="Times New Roman" w:hAnsi="Times New Roman"/>
          <w:b/>
          <w:sz w:val="24"/>
          <w:szCs w:val="24"/>
        </w:rPr>
        <w:t>0</w:t>
      </w:r>
      <w:r w:rsidRPr="00C95CA0">
        <w:rPr>
          <w:rFonts w:ascii="Times New Roman" w:hAnsi="Times New Roman"/>
          <w:b/>
          <w:sz w:val="24"/>
          <w:szCs w:val="24"/>
        </w:rPr>
        <w:t>票反对、</w:t>
      </w:r>
      <w:r w:rsidRPr="00C95CA0">
        <w:rPr>
          <w:rFonts w:ascii="Times New Roman" w:hAnsi="Times New Roman"/>
          <w:b/>
          <w:sz w:val="24"/>
          <w:szCs w:val="24"/>
        </w:rPr>
        <w:t>0</w:t>
      </w:r>
      <w:r w:rsidRPr="00C95CA0">
        <w:rPr>
          <w:rFonts w:ascii="Times New Roman" w:hAnsi="Times New Roman"/>
          <w:b/>
          <w:sz w:val="24"/>
          <w:szCs w:val="24"/>
        </w:rPr>
        <w:t>票弃权的表决结果审议通过</w:t>
      </w:r>
      <w:r w:rsidR="00E21F16" w:rsidRPr="00C95CA0">
        <w:rPr>
          <w:rFonts w:ascii="Times New Roman" w:hAnsi="Times New Roman" w:hint="eastAsia"/>
          <w:b/>
          <w:sz w:val="24"/>
          <w:szCs w:val="24"/>
        </w:rPr>
        <w:t>《</w:t>
      </w:r>
      <w:r w:rsidR="00E21F16" w:rsidRPr="00C95CA0">
        <w:rPr>
          <w:rFonts w:ascii="Times New Roman" w:hAnsi="Times New Roman" w:hint="eastAsia"/>
          <w:b/>
          <w:sz w:val="24"/>
          <w:szCs w:val="24"/>
        </w:rPr>
        <w:t>2017</w:t>
      </w:r>
      <w:r w:rsidR="00DD3B8E">
        <w:rPr>
          <w:rFonts w:ascii="Times New Roman" w:hAnsi="Times New Roman" w:hint="eastAsia"/>
          <w:b/>
          <w:sz w:val="24"/>
          <w:szCs w:val="24"/>
        </w:rPr>
        <w:t>年第一季度报告》全文及正文；</w:t>
      </w:r>
    </w:p>
    <w:p w:rsidR="00C95CA0" w:rsidRPr="004F71BE" w:rsidRDefault="00C95CA0" w:rsidP="00C95CA0">
      <w:pPr>
        <w:spacing w:before="100" w:beforeAutospacing="1" w:after="100" w:afterAutospacing="1" w:line="360" w:lineRule="auto"/>
        <w:ind w:firstLineChars="196" w:firstLine="470"/>
        <w:rPr>
          <w:rFonts w:ascii="Times New Roman" w:hAnsi="Times New Roman"/>
          <w:sz w:val="24"/>
          <w:szCs w:val="24"/>
        </w:rPr>
      </w:pPr>
      <w:r w:rsidRPr="004F71BE">
        <w:rPr>
          <w:rFonts w:ascii="Times New Roman" w:hAnsi="Times New Roman"/>
          <w:sz w:val="24"/>
          <w:szCs w:val="24"/>
        </w:rPr>
        <w:t>经审核，监事会认为董事会编制和审核《华孚色纺股份有限公司</w:t>
      </w:r>
      <w:r w:rsidRPr="004F71BE">
        <w:rPr>
          <w:rFonts w:ascii="Times New Roman" w:hAnsi="Times New Roman"/>
          <w:sz w:val="24"/>
          <w:szCs w:val="24"/>
        </w:rPr>
        <w:t>201</w:t>
      </w:r>
      <w:r>
        <w:rPr>
          <w:rFonts w:ascii="Times New Roman" w:hAnsi="Times New Roman" w:hint="eastAsia"/>
          <w:sz w:val="24"/>
          <w:szCs w:val="24"/>
        </w:rPr>
        <w:t>7</w:t>
      </w:r>
      <w:r w:rsidRPr="004F71BE">
        <w:rPr>
          <w:rFonts w:ascii="Times New Roman" w:hAnsi="Times New Roman"/>
          <w:sz w:val="24"/>
          <w:szCs w:val="24"/>
        </w:rPr>
        <w:t>年</w:t>
      </w:r>
      <w:r>
        <w:rPr>
          <w:rFonts w:ascii="Times New Roman" w:hAnsi="Times New Roman" w:hint="eastAsia"/>
          <w:sz w:val="24"/>
          <w:szCs w:val="24"/>
        </w:rPr>
        <w:t>第一季</w:t>
      </w:r>
      <w:r w:rsidRPr="004F71BE">
        <w:rPr>
          <w:rFonts w:ascii="Times New Roman" w:hAnsi="Times New Roman"/>
          <w:sz w:val="24"/>
          <w:szCs w:val="24"/>
        </w:rPr>
        <w:t>度报告》</w:t>
      </w:r>
      <w:r>
        <w:rPr>
          <w:rFonts w:ascii="Times New Roman" w:hAnsi="Times New Roman" w:hint="eastAsia"/>
          <w:sz w:val="24"/>
          <w:szCs w:val="24"/>
        </w:rPr>
        <w:t>全文及正文</w:t>
      </w:r>
      <w:r w:rsidRPr="004F71BE">
        <w:rPr>
          <w:rFonts w:ascii="Times New Roman" w:hAnsi="Times New Roman"/>
          <w:sz w:val="24"/>
          <w:szCs w:val="24"/>
        </w:rPr>
        <w:t>的程序符合法律、行政法规和中国证监会的规定，报告内容真实、准确、完整地反映了公司的实际情况，不存在任何虚假记载、误导性陈述或者重大遗漏。监事会同意董事会编制的《</w:t>
      </w:r>
      <w:r w:rsidR="00BE4026">
        <w:rPr>
          <w:rFonts w:ascii="Times New Roman" w:hAnsi="Times New Roman"/>
          <w:sz w:val="24"/>
          <w:szCs w:val="24"/>
        </w:rPr>
        <w:t>20</w:t>
      </w:r>
      <w:r w:rsidR="00BE4026">
        <w:rPr>
          <w:rFonts w:ascii="Times New Roman" w:hAnsi="Times New Roman" w:hint="eastAsia"/>
          <w:sz w:val="24"/>
          <w:szCs w:val="24"/>
        </w:rPr>
        <w:t>17</w:t>
      </w:r>
      <w:r w:rsidRPr="004F71BE">
        <w:rPr>
          <w:rFonts w:ascii="Times New Roman" w:hAnsi="Times New Roman"/>
          <w:sz w:val="24"/>
          <w:szCs w:val="24"/>
        </w:rPr>
        <w:t>年</w:t>
      </w:r>
      <w:r>
        <w:rPr>
          <w:rFonts w:ascii="Times New Roman" w:hAnsi="Times New Roman" w:hint="eastAsia"/>
          <w:sz w:val="24"/>
          <w:szCs w:val="24"/>
        </w:rPr>
        <w:t>第一季度</w:t>
      </w:r>
      <w:r w:rsidRPr="004F71BE">
        <w:rPr>
          <w:rFonts w:ascii="Times New Roman" w:hAnsi="Times New Roman"/>
          <w:sz w:val="24"/>
          <w:szCs w:val="24"/>
        </w:rPr>
        <w:t>报告</w:t>
      </w:r>
      <w:r w:rsidR="00BC07EA">
        <w:rPr>
          <w:rFonts w:ascii="Times New Roman" w:hAnsi="Times New Roman" w:hint="eastAsia"/>
          <w:sz w:val="24"/>
          <w:szCs w:val="24"/>
        </w:rPr>
        <w:t>》</w:t>
      </w:r>
      <w:r w:rsidRPr="004F71BE">
        <w:rPr>
          <w:rFonts w:ascii="Times New Roman" w:hAnsi="Times New Roman"/>
          <w:sz w:val="24"/>
          <w:szCs w:val="24"/>
        </w:rPr>
        <w:t>全文及</w:t>
      </w:r>
      <w:r w:rsidR="00BC07EA">
        <w:rPr>
          <w:rFonts w:ascii="Times New Roman" w:hAnsi="Times New Roman" w:hint="eastAsia"/>
          <w:sz w:val="24"/>
          <w:szCs w:val="24"/>
        </w:rPr>
        <w:t>正文</w:t>
      </w:r>
      <w:r w:rsidRPr="004F71BE">
        <w:rPr>
          <w:rFonts w:ascii="Times New Roman" w:hAnsi="Times New Roman" w:hint="eastAsia"/>
          <w:sz w:val="24"/>
          <w:szCs w:val="24"/>
        </w:rPr>
        <w:t>。</w:t>
      </w:r>
    </w:p>
    <w:p w:rsidR="00D7554A" w:rsidRDefault="00D7554A" w:rsidP="00C95CA0">
      <w:pPr>
        <w:spacing w:before="100" w:beforeAutospacing="1" w:after="100" w:afterAutospacing="1" w:line="360" w:lineRule="auto"/>
        <w:ind w:firstLineChars="196" w:firstLine="472"/>
        <w:rPr>
          <w:rFonts w:ascii="Times New Roman" w:hAnsi="Times New Roman"/>
          <w:b/>
          <w:sz w:val="24"/>
          <w:szCs w:val="24"/>
        </w:rPr>
      </w:pPr>
      <w:r w:rsidRPr="00C95CA0">
        <w:rPr>
          <w:rFonts w:ascii="Times New Roman" w:hAnsi="Times New Roman"/>
          <w:b/>
          <w:sz w:val="24"/>
          <w:szCs w:val="24"/>
        </w:rPr>
        <w:t>二、以</w:t>
      </w:r>
      <w:r w:rsidRPr="00C95CA0">
        <w:rPr>
          <w:rFonts w:ascii="Times New Roman" w:hAnsi="Times New Roman"/>
          <w:b/>
          <w:sz w:val="24"/>
          <w:szCs w:val="24"/>
        </w:rPr>
        <w:t>3</w:t>
      </w:r>
      <w:r w:rsidRPr="00C95CA0">
        <w:rPr>
          <w:rFonts w:ascii="Times New Roman" w:hAnsi="Times New Roman"/>
          <w:b/>
          <w:sz w:val="24"/>
          <w:szCs w:val="24"/>
        </w:rPr>
        <w:t>票赞成、</w:t>
      </w:r>
      <w:r w:rsidRPr="00C95CA0">
        <w:rPr>
          <w:rFonts w:ascii="Times New Roman" w:hAnsi="Times New Roman"/>
          <w:b/>
          <w:sz w:val="24"/>
          <w:szCs w:val="24"/>
        </w:rPr>
        <w:t>0</w:t>
      </w:r>
      <w:r w:rsidRPr="00C95CA0">
        <w:rPr>
          <w:rFonts w:ascii="Times New Roman" w:hAnsi="Times New Roman"/>
          <w:b/>
          <w:sz w:val="24"/>
          <w:szCs w:val="24"/>
        </w:rPr>
        <w:t>票反对、</w:t>
      </w:r>
      <w:r w:rsidRPr="00C95CA0">
        <w:rPr>
          <w:rFonts w:ascii="Times New Roman" w:hAnsi="Times New Roman"/>
          <w:b/>
          <w:sz w:val="24"/>
          <w:szCs w:val="24"/>
        </w:rPr>
        <w:t>0</w:t>
      </w:r>
      <w:r w:rsidRPr="00C95CA0">
        <w:rPr>
          <w:rFonts w:ascii="Times New Roman" w:hAnsi="Times New Roman"/>
          <w:b/>
          <w:sz w:val="24"/>
          <w:szCs w:val="24"/>
        </w:rPr>
        <w:t>票弃权的表决结果审议通过</w:t>
      </w:r>
      <w:r w:rsidR="00646320" w:rsidRPr="00646320">
        <w:rPr>
          <w:rFonts w:ascii="Times New Roman" w:hAnsi="Times New Roman"/>
          <w:b/>
          <w:sz w:val="24"/>
          <w:szCs w:val="24"/>
        </w:rPr>
        <w:t>《</w:t>
      </w:r>
      <w:r w:rsidR="00EB5FED">
        <w:rPr>
          <w:rFonts w:ascii="Times New Roman" w:hAnsi="Times New Roman" w:hint="eastAsia"/>
          <w:b/>
          <w:sz w:val="24"/>
          <w:szCs w:val="24"/>
        </w:rPr>
        <w:t>关于修订</w:t>
      </w:r>
      <w:r w:rsidR="00EB5FED">
        <w:rPr>
          <w:rFonts w:ascii="Times New Roman" w:hAnsi="Times New Roman" w:hint="eastAsia"/>
          <w:b/>
          <w:sz w:val="24"/>
          <w:szCs w:val="24"/>
        </w:rPr>
        <w:t>&lt;</w:t>
      </w:r>
      <w:r w:rsidR="00646320" w:rsidRPr="00646320">
        <w:rPr>
          <w:rFonts w:ascii="Times New Roman" w:hAnsi="Times New Roman" w:hint="eastAsia"/>
          <w:b/>
          <w:sz w:val="24"/>
          <w:szCs w:val="24"/>
        </w:rPr>
        <w:t>公司章程</w:t>
      </w:r>
      <w:r w:rsidR="00EB5FED">
        <w:rPr>
          <w:rFonts w:ascii="Times New Roman" w:hAnsi="Times New Roman" w:hint="eastAsia"/>
          <w:b/>
          <w:sz w:val="24"/>
          <w:szCs w:val="24"/>
        </w:rPr>
        <w:t>&gt;</w:t>
      </w:r>
      <w:r w:rsidR="00646320" w:rsidRPr="00646320">
        <w:rPr>
          <w:rFonts w:ascii="Times New Roman" w:hAnsi="Times New Roman" w:hint="eastAsia"/>
          <w:b/>
          <w:sz w:val="24"/>
          <w:szCs w:val="24"/>
        </w:rPr>
        <w:t>的议案</w:t>
      </w:r>
      <w:r w:rsidR="00646320" w:rsidRPr="00646320">
        <w:rPr>
          <w:rFonts w:ascii="Times New Roman" w:hAnsi="Times New Roman"/>
          <w:b/>
          <w:sz w:val="24"/>
          <w:szCs w:val="24"/>
        </w:rPr>
        <w:t>》</w:t>
      </w:r>
      <w:r w:rsidR="00DD3B8E">
        <w:rPr>
          <w:rFonts w:ascii="Times New Roman" w:hAnsi="Times New Roman" w:hint="eastAsia"/>
          <w:b/>
          <w:sz w:val="24"/>
          <w:szCs w:val="24"/>
        </w:rPr>
        <w:t>；</w:t>
      </w:r>
    </w:p>
    <w:p w:rsidR="00646320" w:rsidRPr="00ED00B0" w:rsidRDefault="00646320" w:rsidP="00646320">
      <w:pPr>
        <w:spacing w:before="100" w:beforeAutospacing="1" w:after="100" w:afterAutospacing="1" w:line="360" w:lineRule="auto"/>
        <w:ind w:firstLineChars="196" w:firstLine="470"/>
        <w:rPr>
          <w:rFonts w:ascii="Times New Roman" w:hAnsi="Times New Roman"/>
          <w:kern w:val="0"/>
          <w:sz w:val="24"/>
          <w:szCs w:val="24"/>
        </w:rPr>
      </w:pPr>
      <w:r w:rsidRPr="00ED00B0">
        <w:rPr>
          <w:rFonts w:ascii="Times New Roman" w:hAnsi="Times New Roman" w:hint="eastAsia"/>
          <w:kern w:val="0"/>
          <w:sz w:val="24"/>
          <w:szCs w:val="24"/>
        </w:rPr>
        <w:t>章程修订内容对比表请见附件，修订后的《公司章程》全文见</w:t>
      </w:r>
      <w:r>
        <w:rPr>
          <w:rFonts w:ascii="Times New Roman" w:hAnsi="Times New Roman"/>
          <w:kern w:val="0"/>
          <w:sz w:val="24"/>
          <w:szCs w:val="24"/>
        </w:rPr>
        <w:t>201</w:t>
      </w:r>
      <w:r>
        <w:rPr>
          <w:rFonts w:ascii="Times New Roman" w:hAnsi="Times New Roman" w:hint="eastAsia"/>
          <w:kern w:val="0"/>
          <w:sz w:val="24"/>
          <w:szCs w:val="24"/>
        </w:rPr>
        <w:t>7</w:t>
      </w:r>
      <w:r w:rsidRPr="00ED00B0">
        <w:rPr>
          <w:rFonts w:ascii="Times New Roman" w:hAnsi="Times New Roman" w:hint="eastAsia"/>
          <w:kern w:val="0"/>
          <w:sz w:val="24"/>
          <w:szCs w:val="24"/>
        </w:rPr>
        <w:t>年</w:t>
      </w:r>
      <w:r>
        <w:rPr>
          <w:rFonts w:ascii="Times New Roman" w:hAnsi="Times New Roman" w:hint="eastAsia"/>
          <w:kern w:val="0"/>
          <w:sz w:val="24"/>
          <w:szCs w:val="24"/>
        </w:rPr>
        <w:t>4</w:t>
      </w:r>
      <w:r w:rsidRPr="00ED00B0">
        <w:rPr>
          <w:rFonts w:ascii="Times New Roman" w:hAnsi="Times New Roman" w:hint="eastAsia"/>
          <w:kern w:val="0"/>
          <w:sz w:val="24"/>
          <w:szCs w:val="24"/>
        </w:rPr>
        <w:t>月</w:t>
      </w:r>
      <w:r>
        <w:rPr>
          <w:rFonts w:ascii="Times New Roman" w:hAnsi="Times New Roman" w:hint="eastAsia"/>
          <w:kern w:val="0"/>
          <w:sz w:val="24"/>
          <w:szCs w:val="24"/>
        </w:rPr>
        <w:t>25</w:t>
      </w:r>
      <w:r w:rsidRPr="00ED00B0">
        <w:rPr>
          <w:rFonts w:ascii="Times New Roman" w:hAnsi="Times New Roman" w:hint="eastAsia"/>
          <w:kern w:val="0"/>
          <w:sz w:val="24"/>
          <w:szCs w:val="24"/>
        </w:rPr>
        <w:t>日巨潮资讯网</w:t>
      </w:r>
      <w:r w:rsidRPr="00ED00B0">
        <w:rPr>
          <w:rFonts w:ascii="Times New Roman" w:hAnsi="Times New Roman"/>
          <w:kern w:val="0"/>
          <w:sz w:val="24"/>
          <w:szCs w:val="24"/>
        </w:rPr>
        <w:t>(http://www.cninfo.com.cn)</w:t>
      </w:r>
      <w:r w:rsidRPr="00ED00B0">
        <w:rPr>
          <w:rFonts w:ascii="Times New Roman" w:hAnsi="Times New Roman" w:hint="eastAsia"/>
          <w:kern w:val="0"/>
          <w:sz w:val="24"/>
          <w:szCs w:val="24"/>
        </w:rPr>
        <w:t>。《公司章程》修订尚需提交公司</w:t>
      </w:r>
      <w:r>
        <w:rPr>
          <w:rFonts w:ascii="Times New Roman" w:hAnsi="Times New Roman" w:hint="eastAsia"/>
          <w:kern w:val="0"/>
          <w:sz w:val="24"/>
          <w:szCs w:val="24"/>
        </w:rPr>
        <w:t>2016</w:t>
      </w:r>
      <w:r w:rsidRPr="00ED00B0">
        <w:rPr>
          <w:rFonts w:ascii="Times New Roman" w:hAnsi="Times New Roman" w:hint="eastAsia"/>
          <w:kern w:val="0"/>
          <w:sz w:val="24"/>
          <w:szCs w:val="24"/>
        </w:rPr>
        <w:t>年</w:t>
      </w:r>
      <w:r>
        <w:rPr>
          <w:rFonts w:ascii="Times New Roman" w:hAnsi="Times New Roman" w:hint="eastAsia"/>
          <w:kern w:val="0"/>
          <w:sz w:val="24"/>
          <w:szCs w:val="24"/>
        </w:rPr>
        <w:t>年度</w:t>
      </w:r>
      <w:r w:rsidRPr="00ED00B0">
        <w:rPr>
          <w:rFonts w:ascii="Times New Roman" w:hAnsi="Times New Roman" w:hint="eastAsia"/>
          <w:kern w:val="0"/>
          <w:sz w:val="24"/>
          <w:szCs w:val="24"/>
        </w:rPr>
        <w:t>股东大会审议通过</w:t>
      </w:r>
      <w:bookmarkStart w:id="0" w:name="_GoBack"/>
      <w:bookmarkEnd w:id="0"/>
      <w:r w:rsidRPr="00ED00B0">
        <w:rPr>
          <w:rFonts w:ascii="Times New Roman" w:hAnsi="Times New Roman" w:hint="eastAsia"/>
          <w:kern w:val="0"/>
          <w:sz w:val="24"/>
          <w:szCs w:val="24"/>
        </w:rPr>
        <w:t>。</w:t>
      </w:r>
    </w:p>
    <w:p w:rsidR="00D7554A" w:rsidRPr="00646320" w:rsidRDefault="00D7554A" w:rsidP="00646320">
      <w:pPr>
        <w:spacing w:before="100" w:beforeAutospacing="1" w:after="100" w:afterAutospacing="1" w:line="360" w:lineRule="auto"/>
        <w:ind w:firstLineChars="196" w:firstLine="472"/>
        <w:rPr>
          <w:rFonts w:ascii="Times New Roman" w:hAnsi="Times New Roman"/>
          <w:b/>
          <w:sz w:val="24"/>
          <w:szCs w:val="24"/>
        </w:rPr>
      </w:pPr>
      <w:r w:rsidRPr="00646320">
        <w:rPr>
          <w:rFonts w:ascii="Times New Roman" w:hAnsi="Times New Roman"/>
          <w:b/>
          <w:sz w:val="24"/>
          <w:szCs w:val="24"/>
        </w:rPr>
        <w:t>三、以</w:t>
      </w:r>
      <w:r w:rsidRPr="00646320">
        <w:rPr>
          <w:rFonts w:ascii="Times New Roman" w:hAnsi="Times New Roman"/>
          <w:b/>
          <w:sz w:val="24"/>
          <w:szCs w:val="24"/>
        </w:rPr>
        <w:t>3</w:t>
      </w:r>
      <w:r w:rsidRPr="00646320">
        <w:rPr>
          <w:rFonts w:ascii="Times New Roman" w:hAnsi="Times New Roman"/>
          <w:b/>
          <w:sz w:val="24"/>
          <w:szCs w:val="24"/>
        </w:rPr>
        <w:t>票赞成、</w:t>
      </w:r>
      <w:r w:rsidRPr="00646320">
        <w:rPr>
          <w:rFonts w:ascii="Times New Roman" w:hAnsi="Times New Roman"/>
          <w:b/>
          <w:sz w:val="24"/>
          <w:szCs w:val="24"/>
        </w:rPr>
        <w:t>0</w:t>
      </w:r>
      <w:r w:rsidRPr="00646320">
        <w:rPr>
          <w:rFonts w:ascii="Times New Roman" w:hAnsi="Times New Roman"/>
          <w:b/>
          <w:sz w:val="24"/>
          <w:szCs w:val="24"/>
        </w:rPr>
        <w:t>票反对、</w:t>
      </w:r>
      <w:r w:rsidRPr="00646320">
        <w:rPr>
          <w:rFonts w:ascii="Times New Roman" w:hAnsi="Times New Roman"/>
          <w:b/>
          <w:sz w:val="24"/>
          <w:szCs w:val="24"/>
        </w:rPr>
        <w:t>0</w:t>
      </w:r>
      <w:r w:rsidRPr="00646320">
        <w:rPr>
          <w:rFonts w:ascii="Times New Roman" w:hAnsi="Times New Roman"/>
          <w:b/>
          <w:sz w:val="24"/>
          <w:szCs w:val="24"/>
        </w:rPr>
        <w:t>票弃权的表决结果审议通过</w:t>
      </w:r>
      <w:r w:rsidR="00646320" w:rsidRPr="00646320">
        <w:rPr>
          <w:rFonts w:ascii="Times New Roman" w:hAnsi="Times New Roman"/>
          <w:b/>
          <w:sz w:val="24"/>
          <w:szCs w:val="24"/>
        </w:rPr>
        <w:t>《</w:t>
      </w:r>
      <w:r w:rsidR="00646320" w:rsidRPr="00646320">
        <w:rPr>
          <w:rFonts w:ascii="Times New Roman" w:hAnsi="Times New Roman" w:hint="eastAsia"/>
          <w:b/>
          <w:sz w:val="24"/>
          <w:szCs w:val="24"/>
        </w:rPr>
        <w:t>关于</w:t>
      </w:r>
      <w:r w:rsidR="00BE4026">
        <w:rPr>
          <w:rFonts w:ascii="Times New Roman" w:hAnsi="Times New Roman" w:hint="eastAsia"/>
          <w:b/>
          <w:sz w:val="24"/>
          <w:szCs w:val="24"/>
        </w:rPr>
        <w:t>聘任</w:t>
      </w:r>
      <w:r w:rsidR="00646320" w:rsidRPr="00646320">
        <w:rPr>
          <w:rFonts w:ascii="Times New Roman" w:hAnsi="Times New Roman" w:hint="eastAsia"/>
          <w:b/>
          <w:sz w:val="24"/>
          <w:szCs w:val="24"/>
        </w:rPr>
        <w:t>201</w:t>
      </w:r>
      <w:r w:rsidR="00BE4026">
        <w:rPr>
          <w:rFonts w:ascii="Times New Roman" w:hAnsi="Times New Roman" w:hint="eastAsia"/>
          <w:b/>
          <w:sz w:val="24"/>
          <w:szCs w:val="24"/>
        </w:rPr>
        <w:t>7</w:t>
      </w:r>
      <w:r w:rsidR="00646320" w:rsidRPr="00646320">
        <w:rPr>
          <w:rFonts w:ascii="Times New Roman" w:hAnsi="Times New Roman" w:hint="eastAsia"/>
          <w:b/>
          <w:sz w:val="24"/>
          <w:szCs w:val="24"/>
        </w:rPr>
        <w:lastRenderedPageBreak/>
        <w:t>年度审计机构的议案</w:t>
      </w:r>
      <w:r w:rsidR="00646320" w:rsidRPr="00646320">
        <w:rPr>
          <w:rFonts w:ascii="Times New Roman" w:hAnsi="Times New Roman"/>
          <w:b/>
          <w:sz w:val="24"/>
          <w:szCs w:val="24"/>
        </w:rPr>
        <w:t>》</w:t>
      </w:r>
      <w:r w:rsidR="00DD3B8E">
        <w:rPr>
          <w:rFonts w:ascii="Times New Roman" w:hAnsi="Times New Roman" w:hint="eastAsia"/>
          <w:b/>
          <w:sz w:val="24"/>
          <w:szCs w:val="24"/>
        </w:rPr>
        <w:t>；</w:t>
      </w:r>
    </w:p>
    <w:p w:rsidR="00F13EEC" w:rsidRDefault="00F13EEC" w:rsidP="00F13EEC">
      <w:pPr>
        <w:spacing w:before="100" w:beforeAutospacing="1" w:after="100" w:afterAutospacing="1" w:line="360" w:lineRule="auto"/>
        <w:ind w:firstLineChars="196" w:firstLine="470"/>
        <w:rPr>
          <w:rFonts w:ascii="Times New Roman" w:hAnsi="Times New Roman"/>
          <w:sz w:val="24"/>
          <w:szCs w:val="24"/>
        </w:rPr>
      </w:pPr>
      <w:r w:rsidRPr="00F13EEC">
        <w:rPr>
          <w:rFonts w:ascii="Times New Roman" w:hAnsi="Times New Roman" w:hint="eastAsia"/>
          <w:sz w:val="24"/>
          <w:szCs w:val="24"/>
        </w:rPr>
        <w:t>公司</w:t>
      </w:r>
      <w:r w:rsidRPr="00F13EEC">
        <w:rPr>
          <w:rFonts w:ascii="Times New Roman" w:hAnsi="Times New Roman"/>
          <w:sz w:val="24"/>
          <w:szCs w:val="24"/>
        </w:rPr>
        <w:t>201</w:t>
      </w:r>
      <w:r w:rsidRPr="00F13EEC">
        <w:rPr>
          <w:rFonts w:ascii="Times New Roman" w:hAnsi="Times New Roman" w:hint="eastAsia"/>
          <w:sz w:val="24"/>
          <w:szCs w:val="24"/>
        </w:rPr>
        <w:t>6</w:t>
      </w:r>
      <w:r w:rsidRPr="00F13EEC">
        <w:rPr>
          <w:rFonts w:ascii="Times New Roman" w:hAnsi="Times New Roman" w:hint="eastAsia"/>
          <w:sz w:val="24"/>
          <w:szCs w:val="24"/>
        </w:rPr>
        <w:t>年度审计机构为大华会计师事务所（特殊普通合伙），基于该所对公司业务的熟悉程度，同时该所具备多年为上市公司提供审计服务的经验与能力，我们认为能够满足公司未来业务发展需要及年度财务审计工作要求，能够独立对公司财务状况进行审计。</w:t>
      </w:r>
    </w:p>
    <w:p w:rsidR="00F13EEC" w:rsidRPr="00F13EEC" w:rsidRDefault="00F13EEC" w:rsidP="00F13EEC">
      <w:pPr>
        <w:spacing w:before="100" w:beforeAutospacing="1" w:after="100" w:afterAutospacing="1" w:line="360" w:lineRule="auto"/>
        <w:ind w:firstLineChars="196" w:firstLine="470"/>
        <w:rPr>
          <w:rFonts w:ascii="Times New Roman" w:hAnsi="Times New Roman"/>
          <w:sz w:val="24"/>
          <w:szCs w:val="24"/>
        </w:rPr>
      </w:pPr>
      <w:r w:rsidRPr="00F13EEC">
        <w:rPr>
          <w:rFonts w:ascii="Times New Roman" w:hAnsi="Times New Roman" w:hint="eastAsia"/>
          <w:sz w:val="24"/>
          <w:szCs w:val="24"/>
        </w:rPr>
        <w:t>因此，我们同意续聘大华会计师事务所（特殊普通合伙）作为公司</w:t>
      </w:r>
      <w:r w:rsidRPr="00F13EEC">
        <w:rPr>
          <w:rFonts w:ascii="Times New Roman" w:hAnsi="Times New Roman" w:hint="eastAsia"/>
          <w:sz w:val="24"/>
          <w:szCs w:val="24"/>
        </w:rPr>
        <w:t>2017</w:t>
      </w:r>
      <w:r w:rsidRPr="00F13EEC">
        <w:rPr>
          <w:rFonts w:ascii="Times New Roman" w:hAnsi="Times New Roman" w:hint="eastAsia"/>
          <w:sz w:val="24"/>
          <w:szCs w:val="24"/>
        </w:rPr>
        <w:t>年度审计机构，并同意将该议案提交股东大会审议。</w:t>
      </w:r>
    </w:p>
    <w:p w:rsidR="00D7554A" w:rsidRPr="00F13EEC" w:rsidRDefault="00D7554A" w:rsidP="00F13EEC">
      <w:pPr>
        <w:spacing w:before="100" w:beforeAutospacing="1" w:after="100" w:afterAutospacing="1" w:line="360" w:lineRule="auto"/>
        <w:ind w:firstLineChars="196" w:firstLine="472"/>
        <w:rPr>
          <w:rFonts w:ascii="Times New Roman" w:hAnsi="Times New Roman"/>
          <w:b/>
          <w:sz w:val="24"/>
          <w:szCs w:val="24"/>
        </w:rPr>
      </w:pPr>
      <w:r w:rsidRPr="00F13EEC">
        <w:rPr>
          <w:rFonts w:ascii="Times New Roman" w:hAnsi="Times New Roman"/>
          <w:b/>
          <w:sz w:val="24"/>
          <w:szCs w:val="24"/>
        </w:rPr>
        <w:t>四、以</w:t>
      </w:r>
      <w:r w:rsidRPr="00F13EEC">
        <w:rPr>
          <w:rFonts w:ascii="Times New Roman" w:hAnsi="Times New Roman"/>
          <w:b/>
          <w:sz w:val="24"/>
          <w:szCs w:val="24"/>
        </w:rPr>
        <w:t>3</w:t>
      </w:r>
      <w:r w:rsidRPr="00F13EEC">
        <w:rPr>
          <w:rFonts w:ascii="Times New Roman" w:hAnsi="Times New Roman"/>
          <w:b/>
          <w:sz w:val="24"/>
          <w:szCs w:val="24"/>
        </w:rPr>
        <w:t>票赞成、</w:t>
      </w:r>
      <w:r w:rsidRPr="00F13EEC">
        <w:rPr>
          <w:rFonts w:ascii="Times New Roman" w:hAnsi="Times New Roman"/>
          <w:b/>
          <w:sz w:val="24"/>
          <w:szCs w:val="24"/>
        </w:rPr>
        <w:t>0</w:t>
      </w:r>
      <w:r w:rsidRPr="00F13EEC">
        <w:rPr>
          <w:rFonts w:ascii="Times New Roman" w:hAnsi="Times New Roman"/>
          <w:b/>
          <w:sz w:val="24"/>
          <w:szCs w:val="24"/>
        </w:rPr>
        <w:t>票反对、</w:t>
      </w:r>
      <w:r w:rsidRPr="00F13EEC">
        <w:rPr>
          <w:rFonts w:ascii="Times New Roman" w:hAnsi="Times New Roman"/>
          <w:b/>
          <w:sz w:val="24"/>
          <w:szCs w:val="24"/>
        </w:rPr>
        <w:t>0</w:t>
      </w:r>
      <w:r w:rsidRPr="00F13EEC">
        <w:rPr>
          <w:rFonts w:ascii="Times New Roman" w:hAnsi="Times New Roman"/>
          <w:b/>
          <w:sz w:val="24"/>
          <w:szCs w:val="24"/>
        </w:rPr>
        <w:t>票弃权的表决结果审议通过</w:t>
      </w:r>
      <w:r w:rsidR="00F13EEC" w:rsidRPr="00F13EEC">
        <w:rPr>
          <w:rFonts w:ascii="Times New Roman" w:hAnsi="Times New Roman"/>
          <w:b/>
          <w:sz w:val="24"/>
          <w:szCs w:val="24"/>
        </w:rPr>
        <w:t>《</w:t>
      </w:r>
      <w:r w:rsidR="00F13EEC" w:rsidRPr="00F13EEC">
        <w:rPr>
          <w:rFonts w:ascii="Times New Roman" w:hAnsi="Times New Roman" w:hint="eastAsia"/>
          <w:b/>
          <w:sz w:val="24"/>
          <w:szCs w:val="24"/>
        </w:rPr>
        <w:t>关于使用自有闲置资金进行投资理财事宜的议案</w:t>
      </w:r>
      <w:r w:rsidR="00F13EEC" w:rsidRPr="00F13EEC">
        <w:rPr>
          <w:rFonts w:ascii="Times New Roman" w:hAnsi="Times New Roman"/>
          <w:b/>
          <w:sz w:val="24"/>
          <w:szCs w:val="24"/>
        </w:rPr>
        <w:t>》</w:t>
      </w:r>
      <w:r w:rsidRPr="00F13EEC">
        <w:rPr>
          <w:rFonts w:ascii="Times New Roman" w:hAnsi="Times New Roman"/>
          <w:b/>
          <w:sz w:val="24"/>
          <w:szCs w:val="24"/>
        </w:rPr>
        <w:t>；</w:t>
      </w:r>
    </w:p>
    <w:p w:rsidR="008E45E8" w:rsidRPr="008E45E8" w:rsidRDefault="008E45E8" w:rsidP="008E45E8">
      <w:pPr>
        <w:spacing w:before="100" w:beforeAutospacing="1" w:after="100" w:afterAutospacing="1" w:line="360" w:lineRule="auto"/>
        <w:ind w:firstLineChars="196" w:firstLine="470"/>
        <w:rPr>
          <w:rFonts w:ascii="Times New Roman" w:hAnsi="Times New Roman"/>
          <w:sz w:val="24"/>
          <w:szCs w:val="24"/>
        </w:rPr>
      </w:pPr>
      <w:r w:rsidRPr="008E45E8">
        <w:rPr>
          <w:rFonts w:ascii="Times New Roman" w:hAnsi="Times New Roman" w:hint="eastAsia"/>
          <w:sz w:val="24"/>
          <w:szCs w:val="24"/>
        </w:rPr>
        <w:t>监事会认为，经审议，在保证公司日常经营需求和资金安全的前提下，使用闲置自有资金进行委托理财等投资业务，包括但不限于购买理财产品、信托产品、开展委托贷款业务（委托贷款对象不能为公司关联方）、参与资产管理计划、股票投资、购买债券、期货投资、金融衍生产品投资等符合国家规定的投资业务，在额度内资金可以滚动使用，有利于提高公司资金使用效率和收益，为公司股东获取更多的投资回报。因此，同意公司使用自有闲置资金进行委托理财等投资业务，并提交</w:t>
      </w:r>
      <w:r w:rsidRPr="008E45E8">
        <w:rPr>
          <w:rFonts w:ascii="Times New Roman" w:hAnsi="Times New Roman" w:hint="eastAsia"/>
          <w:sz w:val="24"/>
          <w:szCs w:val="24"/>
        </w:rPr>
        <w:t>201</w:t>
      </w:r>
      <w:r>
        <w:rPr>
          <w:rFonts w:ascii="Times New Roman" w:hAnsi="Times New Roman" w:hint="eastAsia"/>
          <w:sz w:val="24"/>
          <w:szCs w:val="24"/>
        </w:rPr>
        <w:t>6</w:t>
      </w:r>
      <w:r w:rsidRPr="008E45E8">
        <w:rPr>
          <w:rFonts w:ascii="Times New Roman" w:hAnsi="Times New Roman" w:hint="eastAsia"/>
          <w:sz w:val="24"/>
          <w:szCs w:val="24"/>
        </w:rPr>
        <w:t>年度股东大会审议。</w:t>
      </w:r>
    </w:p>
    <w:p w:rsidR="00D7554A" w:rsidRPr="008E45E8" w:rsidRDefault="00D7554A" w:rsidP="008E45E8">
      <w:pPr>
        <w:spacing w:before="100" w:beforeAutospacing="1" w:after="100" w:afterAutospacing="1" w:line="360" w:lineRule="auto"/>
        <w:ind w:firstLineChars="196" w:firstLine="472"/>
        <w:rPr>
          <w:rFonts w:ascii="Times New Roman" w:hAnsi="Times New Roman"/>
          <w:b/>
          <w:sz w:val="24"/>
          <w:szCs w:val="24"/>
        </w:rPr>
      </w:pPr>
      <w:r w:rsidRPr="008E45E8">
        <w:rPr>
          <w:rFonts w:ascii="Times New Roman" w:hAnsi="Times New Roman"/>
          <w:b/>
          <w:sz w:val="24"/>
          <w:szCs w:val="24"/>
        </w:rPr>
        <w:t>五、以</w:t>
      </w:r>
      <w:r w:rsidRPr="008E45E8">
        <w:rPr>
          <w:rFonts w:ascii="Times New Roman" w:hAnsi="Times New Roman"/>
          <w:b/>
          <w:sz w:val="24"/>
          <w:szCs w:val="24"/>
        </w:rPr>
        <w:t>3</w:t>
      </w:r>
      <w:r w:rsidRPr="008E45E8">
        <w:rPr>
          <w:rFonts w:ascii="Times New Roman" w:hAnsi="Times New Roman"/>
          <w:b/>
          <w:sz w:val="24"/>
          <w:szCs w:val="24"/>
        </w:rPr>
        <w:t>票赞成、</w:t>
      </w:r>
      <w:r w:rsidRPr="008E45E8">
        <w:rPr>
          <w:rFonts w:ascii="Times New Roman" w:hAnsi="Times New Roman"/>
          <w:b/>
          <w:sz w:val="24"/>
          <w:szCs w:val="24"/>
        </w:rPr>
        <w:t>0</w:t>
      </w:r>
      <w:r w:rsidRPr="008E45E8">
        <w:rPr>
          <w:rFonts w:ascii="Times New Roman" w:hAnsi="Times New Roman"/>
          <w:b/>
          <w:sz w:val="24"/>
          <w:szCs w:val="24"/>
        </w:rPr>
        <w:t>票反对、</w:t>
      </w:r>
      <w:r w:rsidRPr="008E45E8">
        <w:rPr>
          <w:rFonts w:ascii="Times New Roman" w:hAnsi="Times New Roman"/>
          <w:b/>
          <w:sz w:val="24"/>
          <w:szCs w:val="24"/>
        </w:rPr>
        <w:t>0</w:t>
      </w:r>
      <w:r w:rsidRPr="008E45E8">
        <w:rPr>
          <w:rFonts w:ascii="Times New Roman" w:hAnsi="Times New Roman"/>
          <w:b/>
          <w:sz w:val="24"/>
          <w:szCs w:val="24"/>
        </w:rPr>
        <w:t>票弃权的表决结果审议通过</w:t>
      </w:r>
      <w:r w:rsidR="008E45E8" w:rsidRPr="008E45E8">
        <w:rPr>
          <w:rFonts w:ascii="Times New Roman" w:hAnsi="Times New Roman"/>
          <w:b/>
          <w:sz w:val="24"/>
          <w:szCs w:val="24"/>
        </w:rPr>
        <w:t>《</w:t>
      </w:r>
      <w:r w:rsidR="008E45E8" w:rsidRPr="008E45E8">
        <w:rPr>
          <w:rFonts w:ascii="Times New Roman" w:hAnsi="Times New Roman" w:hint="eastAsia"/>
          <w:b/>
          <w:sz w:val="24"/>
          <w:szCs w:val="24"/>
        </w:rPr>
        <w:t>关于预计</w:t>
      </w:r>
      <w:r w:rsidR="008E45E8" w:rsidRPr="008E45E8">
        <w:rPr>
          <w:rFonts w:ascii="Times New Roman" w:hAnsi="Times New Roman" w:hint="eastAsia"/>
          <w:b/>
          <w:sz w:val="24"/>
          <w:szCs w:val="24"/>
        </w:rPr>
        <w:t>2017</w:t>
      </w:r>
      <w:r w:rsidR="008E45E8" w:rsidRPr="008E45E8">
        <w:rPr>
          <w:rFonts w:ascii="Times New Roman" w:hAnsi="Times New Roman" w:hint="eastAsia"/>
          <w:b/>
          <w:sz w:val="24"/>
          <w:szCs w:val="24"/>
        </w:rPr>
        <w:t>年全年日常关联交易的议案</w:t>
      </w:r>
      <w:r w:rsidR="008E45E8" w:rsidRPr="008E45E8">
        <w:rPr>
          <w:rFonts w:ascii="Times New Roman" w:hAnsi="Times New Roman"/>
          <w:b/>
          <w:sz w:val="24"/>
          <w:szCs w:val="24"/>
        </w:rPr>
        <w:t>》</w:t>
      </w:r>
      <w:r w:rsidRPr="008E45E8">
        <w:rPr>
          <w:rFonts w:ascii="Times New Roman" w:hAnsi="Times New Roman"/>
          <w:b/>
          <w:sz w:val="24"/>
          <w:szCs w:val="24"/>
        </w:rPr>
        <w:t>；</w:t>
      </w:r>
    </w:p>
    <w:p w:rsidR="008E45E8" w:rsidRPr="008E45E8" w:rsidRDefault="008E45E8" w:rsidP="008E45E8">
      <w:pPr>
        <w:spacing w:before="100" w:beforeAutospacing="1" w:after="100" w:afterAutospacing="1" w:line="360" w:lineRule="auto"/>
        <w:ind w:firstLineChars="196" w:firstLine="470"/>
        <w:rPr>
          <w:rFonts w:ascii="Times New Roman" w:hAnsi="Times New Roman"/>
          <w:kern w:val="0"/>
          <w:sz w:val="24"/>
          <w:szCs w:val="24"/>
        </w:rPr>
      </w:pPr>
      <w:r w:rsidRPr="008E45E8">
        <w:rPr>
          <w:rFonts w:ascii="Times New Roman" w:hAnsi="Times New Roman"/>
          <w:kern w:val="0"/>
          <w:sz w:val="24"/>
          <w:szCs w:val="24"/>
        </w:rPr>
        <w:t>经核查，监事会认为：</w:t>
      </w:r>
      <w:r w:rsidRPr="008E45E8">
        <w:rPr>
          <w:rFonts w:ascii="Times New Roman" w:hAnsi="Times New Roman"/>
          <w:kern w:val="0"/>
          <w:sz w:val="24"/>
          <w:szCs w:val="24"/>
        </w:rPr>
        <w:t>201</w:t>
      </w:r>
      <w:r>
        <w:rPr>
          <w:rFonts w:ascii="Times New Roman" w:hAnsi="Times New Roman" w:hint="eastAsia"/>
          <w:kern w:val="0"/>
          <w:sz w:val="24"/>
          <w:szCs w:val="24"/>
        </w:rPr>
        <w:t>7</w:t>
      </w:r>
      <w:r w:rsidRPr="008E45E8">
        <w:rPr>
          <w:rFonts w:ascii="Times New Roman" w:hAnsi="Times New Roman"/>
          <w:kern w:val="0"/>
          <w:sz w:val="24"/>
          <w:szCs w:val="24"/>
        </w:rPr>
        <w:t>年度日常关联交易的决策程序符合有关法律、法规及《公司章程》的规定，关联方董事孙伟挺先生、陈玲芬女士、</w:t>
      </w:r>
      <w:r w:rsidRPr="008E45E8">
        <w:rPr>
          <w:rFonts w:ascii="Times New Roman" w:hAnsi="Times New Roman" w:hint="eastAsia"/>
          <w:kern w:val="0"/>
          <w:sz w:val="24"/>
          <w:szCs w:val="24"/>
        </w:rPr>
        <w:t>孙小挺先生</w:t>
      </w:r>
      <w:r w:rsidRPr="008E45E8">
        <w:rPr>
          <w:rFonts w:ascii="Times New Roman" w:hAnsi="Times New Roman"/>
          <w:kern w:val="0"/>
          <w:sz w:val="24"/>
          <w:szCs w:val="24"/>
        </w:rPr>
        <w:t>、张际松先生回避表决。上述关联交易按照等价有偿原则，根据公允市价进行定价，公平合理，不存在损害公司和中小股东利益的情形。</w:t>
      </w:r>
      <w:r w:rsidRPr="008E45E8">
        <w:rPr>
          <w:rFonts w:ascii="Times New Roman" w:hAnsi="Times New Roman" w:hint="eastAsia"/>
          <w:kern w:val="0"/>
          <w:sz w:val="24"/>
          <w:szCs w:val="24"/>
        </w:rPr>
        <w:t>同意董事会《关于</w:t>
      </w:r>
      <w:r>
        <w:rPr>
          <w:rFonts w:ascii="Times New Roman" w:hAnsi="Times New Roman" w:hint="eastAsia"/>
          <w:kern w:val="0"/>
          <w:sz w:val="24"/>
          <w:szCs w:val="24"/>
        </w:rPr>
        <w:t>预计</w:t>
      </w:r>
      <w:r w:rsidRPr="008E45E8">
        <w:rPr>
          <w:rFonts w:ascii="Times New Roman" w:hAnsi="Times New Roman" w:hint="eastAsia"/>
          <w:kern w:val="0"/>
          <w:sz w:val="24"/>
          <w:szCs w:val="24"/>
        </w:rPr>
        <w:t>201</w:t>
      </w:r>
      <w:r>
        <w:rPr>
          <w:rFonts w:ascii="Times New Roman" w:hAnsi="Times New Roman" w:hint="eastAsia"/>
          <w:kern w:val="0"/>
          <w:sz w:val="24"/>
          <w:szCs w:val="24"/>
        </w:rPr>
        <w:t>7</w:t>
      </w:r>
      <w:r w:rsidRPr="008E45E8">
        <w:rPr>
          <w:rFonts w:ascii="Times New Roman" w:hAnsi="Times New Roman" w:hint="eastAsia"/>
          <w:kern w:val="0"/>
          <w:sz w:val="24"/>
          <w:szCs w:val="24"/>
        </w:rPr>
        <w:t>年</w:t>
      </w:r>
      <w:r>
        <w:rPr>
          <w:rFonts w:ascii="Times New Roman" w:hAnsi="Times New Roman" w:hint="eastAsia"/>
          <w:kern w:val="0"/>
          <w:sz w:val="24"/>
          <w:szCs w:val="24"/>
        </w:rPr>
        <w:t>全年</w:t>
      </w:r>
      <w:r w:rsidRPr="008E45E8">
        <w:rPr>
          <w:rFonts w:ascii="Times New Roman" w:hAnsi="Times New Roman" w:hint="eastAsia"/>
          <w:kern w:val="0"/>
          <w:sz w:val="24"/>
          <w:szCs w:val="24"/>
        </w:rPr>
        <w:t>日常关联交易的议案》，并提交</w:t>
      </w:r>
      <w:r w:rsidRPr="008E45E8">
        <w:rPr>
          <w:rFonts w:ascii="Times New Roman" w:hAnsi="Times New Roman" w:hint="eastAsia"/>
          <w:kern w:val="0"/>
          <w:sz w:val="24"/>
          <w:szCs w:val="24"/>
        </w:rPr>
        <w:t>201</w:t>
      </w:r>
      <w:r>
        <w:rPr>
          <w:rFonts w:ascii="Times New Roman" w:hAnsi="Times New Roman" w:hint="eastAsia"/>
          <w:kern w:val="0"/>
          <w:sz w:val="24"/>
          <w:szCs w:val="24"/>
        </w:rPr>
        <w:t>6</w:t>
      </w:r>
      <w:r w:rsidRPr="008E45E8">
        <w:rPr>
          <w:rFonts w:ascii="Times New Roman" w:hAnsi="Times New Roman" w:hint="eastAsia"/>
          <w:kern w:val="0"/>
          <w:sz w:val="24"/>
          <w:szCs w:val="24"/>
        </w:rPr>
        <w:t>年度股东大会审议。</w:t>
      </w:r>
    </w:p>
    <w:p w:rsidR="00D7554A" w:rsidRDefault="00D7554A" w:rsidP="00D7554A">
      <w:pPr>
        <w:spacing w:before="100" w:beforeAutospacing="1" w:after="100" w:afterAutospacing="1" w:line="360" w:lineRule="auto"/>
        <w:ind w:firstLineChars="196" w:firstLine="470"/>
        <w:rPr>
          <w:rFonts w:ascii="Times New Roman" w:hAnsi="Times New Roman"/>
          <w:kern w:val="0"/>
          <w:sz w:val="24"/>
          <w:szCs w:val="24"/>
        </w:rPr>
      </w:pPr>
      <w:r w:rsidRPr="00613E6A">
        <w:rPr>
          <w:rFonts w:ascii="Times New Roman" w:hAnsi="Times New Roman" w:hint="eastAsia"/>
          <w:kern w:val="0"/>
          <w:sz w:val="24"/>
          <w:szCs w:val="24"/>
        </w:rPr>
        <w:t>本议案需提交公司</w:t>
      </w:r>
      <w:r w:rsidRPr="00613E6A">
        <w:rPr>
          <w:rFonts w:ascii="Times New Roman" w:hAnsi="Times New Roman" w:hint="eastAsia"/>
          <w:kern w:val="0"/>
          <w:sz w:val="24"/>
          <w:szCs w:val="24"/>
        </w:rPr>
        <w:t>201</w:t>
      </w:r>
      <w:r>
        <w:rPr>
          <w:rFonts w:ascii="Times New Roman" w:hAnsi="Times New Roman" w:hint="eastAsia"/>
          <w:kern w:val="0"/>
          <w:sz w:val="24"/>
          <w:szCs w:val="24"/>
        </w:rPr>
        <w:t>6</w:t>
      </w:r>
      <w:r w:rsidRPr="00613E6A">
        <w:rPr>
          <w:rFonts w:ascii="Times New Roman" w:hAnsi="Times New Roman" w:hint="eastAsia"/>
          <w:kern w:val="0"/>
          <w:sz w:val="24"/>
          <w:szCs w:val="24"/>
        </w:rPr>
        <w:t>年度股东大会审议通过。</w:t>
      </w:r>
    </w:p>
    <w:p w:rsidR="00D7554A" w:rsidRPr="009076FF" w:rsidRDefault="00D7554A" w:rsidP="00D7554A">
      <w:pPr>
        <w:spacing w:before="100" w:beforeAutospacing="1" w:after="100" w:afterAutospacing="1" w:line="360" w:lineRule="auto"/>
        <w:ind w:firstLineChars="196" w:firstLine="470"/>
        <w:rPr>
          <w:rFonts w:ascii="Times New Roman" w:hAnsi="Times New Roman"/>
          <w:sz w:val="24"/>
          <w:szCs w:val="24"/>
        </w:rPr>
      </w:pPr>
    </w:p>
    <w:p w:rsidR="008E45E8" w:rsidRPr="008E45E8" w:rsidRDefault="008E45E8" w:rsidP="008E45E8">
      <w:pPr>
        <w:spacing w:before="100" w:beforeAutospacing="1" w:after="100" w:afterAutospacing="1" w:line="360" w:lineRule="auto"/>
        <w:ind w:firstLineChars="196" w:firstLine="472"/>
        <w:rPr>
          <w:rFonts w:ascii="Times New Roman" w:hAnsi="Times New Roman"/>
          <w:b/>
          <w:sz w:val="24"/>
          <w:szCs w:val="24"/>
        </w:rPr>
      </w:pPr>
      <w:r>
        <w:rPr>
          <w:rFonts w:ascii="Times New Roman" w:hAnsi="Times New Roman" w:hint="eastAsia"/>
          <w:b/>
          <w:sz w:val="24"/>
          <w:szCs w:val="24"/>
        </w:rPr>
        <w:lastRenderedPageBreak/>
        <w:t>六</w:t>
      </w:r>
      <w:r w:rsidRPr="008E45E8">
        <w:rPr>
          <w:rFonts w:ascii="Times New Roman" w:hAnsi="Times New Roman"/>
          <w:b/>
          <w:sz w:val="24"/>
          <w:szCs w:val="24"/>
        </w:rPr>
        <w:t>、以</w:t>
      </w:r>
      <w:r w:rsidRPr="008E45E8">
        <w:rPr>
          <w:rFonts w:ascii="Times New Roman" w:hAnsi="Times New Roman"/>
          <w:b/>
          <w:sz w:val="24"/>
          <w:szCs w:val="24"/>
        </w:rPr>
        <w:t>3</w:t>
      </w:r>
      <w:r w:rsidRPr="008E45E8">
        <w:rPr>
          <w:rFonts w:ascii="Times New Roman" w:hAnsi="Times New Roman"/>
          <w:b/>
          <w:sz w:val="24"/>
          <w:szCs w:val="24"/>
        </w:rPr>
        <w:t>票赞成、</w:t>
      </w:r>
      <w:r w:rsidRPr="008E45E8">
        <w:rPr>
          <w:rFonts w:ascii="Times New Roman" w:hAnsi="Times New Roman"/>
          <w:b/>
          <w:sz w:val="24"/>
          <w:szCs w:val="24"/>
        </w:rPr>
        <w:t>0</w:t>
      </w:r>
      <w:r w:rsidRPr="008E45E8">
        <w:rPr>
          <w:rFonts w:ascii="Times New Roman" w:hAnsi="Times New Roman"/>
          <w:b/>
          <w:sz w:val="24"/>
          <w:szCs w:val="24"/>
        </w:rPr>
        <w:t>票反对、</w:t>
      </w:r>
      <w:r w:rsidRPr="008E45E8">
        <w:rPr>
          <w:rFonts w:ascii="Times New Roman" w:hAnsi="Times New Roman"/>
          <w:b/>
          <w:sz w:val="24"/>
          <w:szCs w:val="24"/>
        </w:rPr>
        <w:t>0</w:t>
      </w:r>
      <w:r w:rsidRPr="008E45E8">
        <w:rPr>
          <w:rFonts w:ascii="Times New Roman" w:hAnsi="Times New Roman"/>
          <w:b/>
          <w:sz w:val="24"/>
          <w:szCs w:val="24"/>
        </w:rPr>
        <w:t>票弃权的表决结果审议通过《</w:t>
      </w:r>
      <w:r w:rsidRPr="008E45E8">
        <w:rPr>
          <w:rFonts w:ascii="Times New Roman" w:hAnsi="Times New Roman" w:hint="eastAsia"/>
          <w:b/>
          <w:sz w:val="24"/>
          <w:szCs w:val="24"/>
        </w:rPr>
        <w:t>关于预计</w:t>
      </w:r>
      <w:r w:rsidRPr="008E45E8">
        <w:rPr>
          <w:rFonts w:ascii="Times New Roman" w:hAnsi="Times New Roman" w:hint="eastAsia"/>
          <w:b/>
          <w:sz w:val="24"/>
          <w:szCs w:val="24"/>
        </w:rPr>
        <w:t>2017</w:t>
      </w:r>
      <w:r w:rsidRPr="008E45E8">
        <w:rPr>
          <w:rFonts w:ascii="Times New Roman" w:hAnsi="Times New Roman" w:hint="eastAsia"/>
          <w:b/>
          <w:sz w:val="24"/>
          <w:szCs w:val="24"/>
        </w:rPr>
        <w:t>年度参与期货套保交易事项的议案</w:t>
      </w:r>
      <w:r w:rsidRPr="008E45E8">
        <w:rPr>
          <w:rFonts w:ascii="Times New Roman" w:hAnsi="Times New Roman"/>
          <w:b/>
          <w:sz w:val="24"/>
          <w:szCs w:val="24"/>
        </w:rPr>
        <w:t>》；</w:t>
      </w:r>
    </w:p>
    <w:p w:rsidR="008E45E8" w:rsidRPr="008E45E8" w:rsidRDefault="008E45E8" w:rsidP="008E45E8">
      <w:pPr>
        <w:autoSpaceDE w:val="0"/>
        <w:autoSpaceDN w:val="0"/>
        <w:adjustRightInd w:val="0"/>
        <w:spacing w:line="360" w:lineRule="auto"/>
        <w:ind w:firstLineChars="200" w:firstLine="480"/>
        <w:jc w:val="left"/>
        <w:rPr>
          <w:rFonts w:ascii="Times New Roman" w:hAnsi="Times New Roman"/>
          <w:kern w:val="0"/>
          <w:sz w:val="24"/>
          <w:szCs w:val="24"/>
        </w:rPr>
      </w:pPr>
      <w:r w:rsidRPr="008E45E8">
        <w:rPr>
          <w:rFonts w:ascii="Times New Roman" w:hAnsi="Times New Roman" w:hint="eastAsia"/>
          <w:kern w:val="0"/>
          <w:sz w:val="24"/>
          <w:szCs w:val="24"/>
        </w:rPr>
        <w:t>监事会认为，公司预计</w:t>
      </w:r>
      <w:r w:rsidRPr="008E45E8">
        <w:rPr>
          <w:rFonts w:ascii="Times New Roman" w:hAnsi="Times New Roman" w:hint="eastAsia"/>
          <w:kern w:val="0"/>
          <w:sz w:val="24"/>
          <w:szCs w:val="24"/>
        </w:rPr>
        <w:t>201</w:t>
      </w:r>
      <w:r>
        <w:rPr>
          <w:rFonts w:ascii="Times New Roman" w:hAnsi="Times New Roman" w:hint="eastAsia"/>
          <w:kern w:val="0"/>
          <w:sz w:val="24"/>
          <w:szCs w:val="24"/>
        </w:rPr>
        <w:t>7</w:t>
      </w:r>
      <w:r w:rsidRPr="008E45E8">
        <w:rPr>
          <w:rFonts w:ascii="Times New Roman" w:hAnsi="Times New Roman" w:hint="eastAsia"/>
          <w:kern w:val="0"/>
          <w:sz w:val="24"/>
          <w:szCs w:val="24"/>
        </w:rPr>
        <w:t>年度期货套</w:t>
      </w:r>
      <w:proofErr w:type="gramStart"/>
      <w:r w:rsidRPr="008E45E8">
        <w:rPr>
          <w:rFonts w:ascii="Times New Roman" w:hAnsi="Times New Roman" w:hint="eastAsia"/>
          <w:kern w:val="0"/>
          <w:sz w:val="24"/>
          <w:szCs w:val="24"/>
        </w:rPr>
        <w:t>保交易</w:t>
      </w:r>
      <w:proofErr w:type="gramEnd"/>
      <w:r w:rsidRPr="008E45E8">
        <w:rPr>
          <w:rFonts w:ascii="Times New Roman" w:hAnsi="Times New Roman" w:hint="eastAsia"/>
          <w:kern w:val="0"/>
          <w:sz w:val="24"/>
          <w:szCs w:val="24"/>
        </w:rPr>
        <w:t>符合实际经营需要，同意董事会《关于</w:t>
      </w:r>
      <w:r w:rsidR="00BE4026">
        <w:rPr>
          <w:rFonts w:ascii="Times New Roman" w:hAnsi="Times New Roman" w:hint="eastAsia"/>
          <w:kern w:val="0"/>
          <w:sz w:val="24"/>
          <w:szCs w:val="24"/>
        </w:rPr>
        <w:t>预计</w:t>
      </w:r>
      <w:r w:rsidRPr="008E45E8">
        <w:rPr>
          <w:rFonts w:ascii="Times New Roman" w:hAnsi="Times New Roman" w:hint="eastAsia"/>
          <w:kern w:val="0"/>
          <w:sz w:val="24"/>
          <w:szCs w:val="24"/>
        </w:rPr>
        <w:t>201</w:t>
      </w:r>
      <w:r>
        <w:rPr>
          <w:rFonts w:ascii="Times New Roman" w:hAnsi="Times New Roman" w:hint="eastAsia"/>
          <w:kern w:val="0"/>
          <w:sz w:val="24"/>
          <w:szCs w:val="24"/>
        </w:rPr>
        <w:t>7</w:t>
      </w:r>
      <w:r w:rsidRPr="008E45E8">
        <w:rPr>
          <w:rFonts w:ascii="Times New Roman" w:hAnsi="Times New Roman" w:hint="eastAsia"/>
          <w:kern w:val="0"/>
          <w:sz w:val="24"/>
          <w:szCs w:val="24"/>
        </w:rPr>
        <w:t>年度期货套保交易的议案》，并提交</w:t>
      </w:r>
      <w:r w:rsidRPr="008E45E8">
        <w:rPr>
          <w:rFonts w:ascii="Times New Roman" w:hAnsi="Times New Roman" w:hint="eastAsia"/>
          <w:kern w:val="0"/>
          <w:sz w:val="24"/>
          <w:szCs w:val="24"/>
        </w:rPr>
        <w:t>201</w:t>
      </w:r>
      <w:r>
        <w:rPr>
          <w:rFonts w:ascii="Times New Roman" w:hAnsi="Times New Roman" w:hint="eastAsia"/>
          <w:kern w:val="0"/>
          <w:sz w:val="24"/>
          <w:szCs w:val="24"/>
        </w:rPr>
        <w:t>6</w:t>
      </w:r>
      <w:r w:rsidRPr="008E45E8">
        <w:rPr>
          <w:rFonts w:ascii="Times New Roman" w:hAnsi="Times New Roman" w:hint="eastAsia"/>
          <w:kern w:val="0"/>
          <w:sz w:val="24"/>
          <w:szCs w:val="24"/>
        </w:rPr>
        <w:t>年度股东大会审议。</w:t>
      </w:r>
    </w:p>
    <w:p w:rsidR="008E45E8" w:rsidRPr="008E45E8" w:rsidRDefault="008E45E8" w:rsidP="008E45E8">
      <w:pPr>
        <w:spacing w:before="100" w:beforeAutospacing="1" w:after="100" w:afterAutospacing="1" w:line="360" w:lineRule="auto"/>
        <w:ind w:firstLineChars="196" w:firstLine="472"/>
        <w:rPr>
          <w:rFonts w:ascii="Times New Roman" w:hAnsi="Times New Roman"/>
          <w:b/>
          <w:sz w:val="24"/>
          <w:szCs w:val="24"/>
        </w:rPr>
      </w:pPr>
      <w:r>
        <w:rPr>
          <w:rFonts w:ascii="Times New Roman" w:hAnsi="Times New Roman" w:hint="eastAsia"/>
          <w:b/>
          <w:sz w:val="24"/>
          <w:szCs w:val="24"/>
        </w:rPr>
        <w:t>七</w:t>
      </w:r>
      <w:r w:rsidRPr="008E45E8">
        <w:rPr>
          <w:rFonts w:ascii="Times New Roman" w:hAnsi="Times New Roman"/>
          <w:b/>
          <w:sz w:val="24"/>
          <w:szCs w:val="24"/>
        </w:rPr>
        <w:t>、以</w:t>
      </w:r>
      <w:r w:rsidRPr="008E45E8">
        <w:rPr>
          <w:rFonts w:ascii="Times New Roman" w:hAnsi="Times New Roman"/>
          <w:b/>
          <w:sz w:val="24"/>
          <w:szCs w:val="24"/>
        </w:rPr>
        <w:t>3</w:t>
      </w:r>
      <w:r w:rsidRPr="008E45E8">
        <w:rPr>
          <w:rFonts w:ascii="Times New Roman" w:hAnsi="Times New Roman"/>
          <w:b/>
          <w:sz w:val="24"/>
          <w:szCs w:val="24"/>
        </w:rPr>
        <w:t>票赞成、</w:t>
      </w:r>
      <w:r w:rsidRPr="008E45E8">
        <w:rPr>
          <w:rFonts w:ascii="Times New Roman" w:hAnsi="Times New Roman"/>
          <w:b/>
          <w:sz w:val="24"/>
          <w:szCs w:val="24"/>
        </w:rPr>
        <w:t>0</w:t>
      </w:r>
      <w:r w:rsidRPr="008E45E8">
        <w:rPr>
          <w:rFonts w:ascii="Times New Roman" w:hAnsi="Times New Roman"/>
          <w:b/>
          <w:sz w:val="24"/>
          <w:szCs w:val="24"/>
        </w:rPr>
        <w:t>票反对、</w:t>
      </w:r>
      <w:r w:rsidRPr="008E45E8">
        <w:rPr>
          <w:rFonts w:ascii="Times New Roman" w:hAnsi="Times New Roman"/>
          <w:b/>
          <w:sz w:val="24"/>
          <w:szCs w:val="24"/>
        </w:rPr>
        <w:t>0</w:t>
      </w:r>
      <w:r w:rsidRPr="008E45E8">
        <w:rPr>
          <w:rFonts w:ascii="Times New Roman" w:hAnsi="Times New Roman"/>
          <w:b/>
          <w:sz w:val="24"/>
          <w:szCs w:val="24"/>
        </w:rPr>
        <w:t>票弃权的表决结果审议通过</w:t>
      </w:r>
      <w:r w:rsidR="00EC5178" w:rsidRPr="00EC5178">
        <w:rPr>
          <w:rFonts w:ascii="Times New Roman" w:hAnsi="Times New Roman"/>
          <w:b/>
          <w:sz w:val="24"/>
          <w:szCs w:val="24"/>
        </w:rPr>
        <w:t>《</w:t>
      </w:r>
      <w:r w:rsidR="00EC5178" w:rsidRPr="00EC5178">
        <w:rPr>
          <w:rFonts w:ascii="Times New Roman" w:hAnsi="Times New Roman" w:hint="eastAsia"/>
          <w:b/>
          <w:sz w:val="24"/>
          <w:szCs w:val="24"/>
        </w:rPr>
        <w:t>关于预计</w:t>
      </w:r>
      <w:r w:rsidR="00EC5178" w:rsidRPr="00EC5178">
        <w:rPr>
          <w:rFonts w:ascii="Times New Roman" w:hAnsi="Times New Roman" w:hint="eastAsia"/>
          <w:b/>
          <w:sz w:val="24"/>
          <w:szCs w:val="24"/>
        </w:rPr>
        <w:t>2017</w:t>
      </w:r>
      <w:r w:rsidR="00EC5178" w:rsidRPr="00EC5178">
        <w:rPr>
          <w:rFonts w:ascii="Times New Roman" w:hAnsi="Times New Roman" w:hint="eastAsia"/>
          <w:b/>
          <w:sz w:val="24"/>
          <w:szCs w:val="24"/>
        </w:rPr>
        <w:t>年度申请银行授信额度及借款的议案</w:t>
      </w:r>
      <w:r w:rsidR="00EC5178" w:rsidRPr="00EC5178">
        <w:rPr>
          <w:rFonts w:ascii="Times New Roman" w:hAnsi="Times New Roman"/>
          <w:b/>
          <w:sz w:val="24"/>
          <w:szCs w:val="24"/>
        </w:rPr>
        <w:t>》</w:t>
      </w:r>
      <w:r w:rsidRPr="008E45E8">
        <w:rPr>
          <w:rFonts w:ascii="Times New Roman" w:hAnsi="Times New Roman"/>
          <w:b/>
          <w:sz w:val="24"/>
          <w:szCs w:val="24"/>
        </w:rPr>
        <w:t>；</w:t>
      </w:r>
    </w:p>
    <w:p w:rsidR="00EC5178" w:rsidRPr="009B5F74" w:rsidRDefault="00EC5178" w:rsidP="00EC5178">
      <w:pPr>
        <w:autoSpaceDE w:val="0"/>
        <w:autoSpaceDN w:val="0"/>
        <w:adjustRightInd w:val="0"/>
        <w:spacing w:line="360" w:lineRule="auto"/>
        <w:ind w:firstLineChars="200" w:firstLine="480"/>
        <w:jc w:val="left"/>
        <w:rPr>
          <w:rFonts w:ascii="Times New Roman" w:hAnsi="Times New Roman"/>
          <w:kern w:val="0"/>
          <w:sz w:val="24"/>
          <w:szCs w:val="24"/>
        </w:rPr>
      </w:pPr>
      <w:r w:rsidRPr="009B5F74">
        <w:rPr>
          <w:rFonts w:ascii="Times New Roman" w:hAnsi="Times New Roman" w:hint="eastAsia"/>
          <w:kern w:val="0"/>
          <w:sz w:val="24"/>
          <w:szCs w:val="24"/>
        </w:rPr>
        <w:t>监事会认为，根据公司持续生产经营与技术改造项目的需要，预计公司</w:t>
      </w:r>
      <w:r w:rsidRPr="009B5F74">
        <w:rPr>
          <w:rFonts w:ascii="Times New Roman" w:hAnsi="Times New Roman" w:hint="eastAsia"/>
          <w:kern w:val="0"/>
          <w:sz w:val="24"/>
          <w:szCs w:val="24"/>
        </w:rPr>
        <w:t>2017</w:t>
      </w:r>
      <w:r w:rsidRPr="009B5F74">
        <w:rPr>
          <w:rFonts w:ascii="Times New Roman" w:hAnsi="Times New Roman" w:hint="eastAsia"/>
          <w:kern w:val="0"/>
          <w:sz w:val="24"/>
          <w:szCs w:val="24"/>
        </w:rPr>
        <w:t>年需向银行申请综合授信额度不超过人民币</w:t>
      </w:r>
      <w:r w:rsidR="00BE4026" w:rsidRPr="009B5F74">
        <w:rPr>
          <w:rFonts w:ascii="Times New Roman" w:hAnsi="Times New Roman" w:hint="eastAsia"/>
          <w:kern w:val="0"/>
          <w:sz w:val="24"/>
          <w:szCs w:val="24"/>
        </w:rPr>
        <w:t>75</w:t>
      </w:r>
      <w:r w:rsidRPr="009B5F74">
        <w:rPr>
          <w:rFonts w:ascii="Times New Roman" w:hAnsi="Times New Roman" w:hint="eastAsia"/>
          <w:kern w:val="0"/>
          <w:sz w:val="24"/>
          <w:szCs w:val="24"/>
        </w:rPr>
        <w:t>亿元符合公司实际经营需求，同意董事会《关于预计</w:t>
      </w:r>
      <w:r w:rsidRPr="009B5F74">
        <w:rPr>
          <w:rFonts w:ascii="Times New Roman" w:hAnsi="Times New Roman" w:hint="eastAsia"/>
          <w:kern w:val="0"/>
          <w:sz w:val="24"/>
          <w:szCs w:val="24"/>
        </w:rPr>
        <w:t>2017</w:t>
      </w:r>
      <w:r w:rsidRPr="009B5F74">
        <w:rPr>
          <w:rFonts w:ascii="Times New Roman" w:hAnsi="Times New Roman" w:hint="eastAsia"/>
          <w:kern w:val="0"/>
          <w:sz w:val="24"/>
          <w:szCs w:val="24"/>
        </w:rPr>
        <w:t>年度申请银行授信额度及借款的议案》，并提交</w:t>
      </w:r>
      <w:r w:rsidRPr="009B5F74">
        <w:rPr>
          <w:rFonts w:ascii="Times New Roman" w:hAnsi="Times New Roman" w:hint="eastAsia"/>
          <w:kern w:val="0"/>
          <w:sz w:val="24"/>
          <w:szCs w:val="24"/>
        </w:rPr>
        <w:t>2016</w:t>
      </w:r>
      <w:r w:rsidRPr="009B5F74">
        <w:rPr>
          <w:rFonts w:ascii="Times New Roman" w:hAnsi="Times New Roman" w:hint="eastAsia"/>
          <w:kern w:val="0"/>
          <w:sz w:val="24"/>
          <w:szCs w:val="24"/>
        </w:rPr>
        <w:t>年度股东大会审议。</w:t>
      </w:r>
    </w:p>
    <w:p w:rsidR="008E45E8" w:rsidRDefault="00532D81" w:rsidP="00EC5178">
      <w:pPr>
        <w:autoSpaceDE w:val="0"/>
        <w:autoSpaceDN w:val="0"/>
        <w:adjustRightInd w:val="0"/>
        <w:spacing w:line="360" w:lineRule="auto"/>
        <w:ind w:firstLineChars="200" w:firstLine="482"/>
        <w:jc w:val="left"/>
        <w:rPr>
          <w:rFonts w:ascii="Times New Roman" w:hAnsi="Times New Roman"/>
          <w:b/>
          <w:kern w:val="0"/>
          <w:sz w:val="24"/>
          <w:szCs w:val="24"/>
        </w:rPr>
      </w:pPr>
      <w:r>
        <w:rPr>
          <w:rFonts w:ascii="Times New Roman" w:hAnsi="Times New Roman" w:hint="eastAsia"/>
          <w:b/>
          <w:sz w:val="24"/>
          <w:szCs w:val="24"/>
        </w:rPr>
        <w:t>八</w:t>
      </w:r>
      <w:r w:rsidR="00EC5178" w:rsidRPr="008E45E8">
        <w:rPr>
          <w:rFonts w:ascii="Times New Roman" w:hAnsi="Times New Roman"/>
          <w:b/>
          <w:sz w:val="24"/>
          <w:szCs w:val="24"/>
        </w:rPr>
        <w:t>、以</w:t>
      </w:r>
      <w:r w:rsidR="00EC5178" w:rsidRPr="008E45E8">
        <w:rPr>
          <w:rFonts w:ascii="Times New Roman" w:hAnsi="Times New Roman"/>
          <w:b/>
          <w:sz w:val="24"/>
          <w:szCs w:val="24"/>
        </w:rPr>
        <w:t>3</w:t>
      </w:r>
      <w:r w:rsidR="00EC5178" w:rsidRPr="008E45E8">
        <w:rPr>
          <w:rFonts w:ascii="Times New Roman" w:hAnsi="Times New Roman"/>
          <w:b/>
          <w:sz w:val="24"/>
          <w:szCs w:val="24"/>
        </w:rPr>
        <w:t>票赞成、</w:t>
      </w:r>
      <w:r w:rsidR="00EC5178" w:rsidRPr="008E45E8">
        <w:rPr>
          <w:rFonts w:ascii="Times New Roman" w:hAnsi="Times New Roman"/>
          <w:b/>
          <w:sz w:val="24"/>
          <w:szCs w:val="24"/>
        </w:rPr>
        <w:t>0</w:t>
      </w:r>
      <w:r w:rsidR="00EC5178" w:rsidRPr="008E45E8">
        <w:rPr>
          <w:rFonts w:ascii="Times New Roman" w:hAnsi="Times New Roman"/>
          <w:b/>
          <w:sz w:val="24"/>
          <w:szCs w:val="24"/>
        </w:rPr>
        <w:t>票反对、</w:t>
      </w:r>
      <w:r w:rsidR="00EC5178" w:rsidRPr="008E45E8">
        <w:rPr>
          <w:rFonts w:ascii="Times New Roman" w:hAnsi="Times New Roman"/>
          <w:b/>
          <w:sz w:val="24"/>
          <w:szCs w:val="24"/>
        </w:rPr>
        <w:t>0</w:t>
      </w:r>
      <w:r w:rsidR="00EC5178" w:rsidRPr="008E45E8">
        <w:rPr>
          <w:rFonts w:ascii="Times New Roman" w:hAnsi="Times New Roman"/>
          <w:b/>
          <w:sz w:val="24"/>
          <w:szCs w:val="24"/>
        </w:rPr>
        <w:t>票弃权的表决结果审议通过</w:t>
      </w:r>
      <w:r w:rsidR="00EC5178" w:rsidRPr="00EC5178">
        <w:rPr>
          <w:rFonts w:ascii="Times New Roman" w:hAnsi="Times New Roman"/>
          <w:b/>
          <w:kern w:val="0"/>
          <w:sz w:val="24"/>
          <w:szCs w:val="24"/>
        </w:rPr>
        <w:t>《</w:t>
      </w:r>
      <w:r w:rsidR="00EC5178" w:rsidRPr="00EC5178">
        <w:rPr>
          <w:rFonts w:ascii="Times New Roman" w:hAnsi="Times New Roman" w:hint="eastAsia"/>
          <w:b/>
          <w:kern w:val="0"/>
          <w:sz w:val="24"/>
          <w:szCs w:val="24"/>
        </w:rPr>
        <w:t>关于预计</w:t>
      </w:r>
      <w:r w:rsidR="00EC5178" w:rsidRPr="00EC5178">
        <w:rPr>
          <w:rFonts w:ascii="Times New Roman" w:hAnsi="Times New Roman" w:hint="eastAsia"/>
          <w:b/>
          <w:kern w:val="0"/>
          <w:sz w:val="24"/>
          <w:szCs w:val="24"/>
        </w:rPr>
        <w:t>2017</w:t>
      </w:r>
      <w:r w:rsidR="00EC5178" w:rsidRPr="00EC5178">
        <w:rPr>
          <w:rFonts w:ascii="Times New Roman" w:hAnsi="Times New Roman" w:hint="eastAsia"/>
          <w:b/>
          <w:kern w:val="0"/>
          <w:sz w:val="24"/>
          <w:szCs w:val="24"/>
        </w:rPr>
        <w:t>年度为子公司提供担保的议案</w:t>
      </w:r>
      <w:r w:rsidR="00EC5178" w:rsidRPr="00EC5178">
        <w:rPr>
          <w:rFonts w:ascii="Times New Roman" w:hAnsi="Times New Roman"/>
          <w:b/>
          <w:kern w:val="0"/>
          <w:sz w:val="24"/>
          <w:szCs w:val="24"/>
        </w:rPr>
        <w:t>》</w:t>
      </w:r>
      <w:r w:rsidR="00EC5178">
        <w:rPr>
          <w:rFonts w:ascii="Times New Roman" w:hAnsi="Times New Roman" w:hint="eastAsia"/>
          <w:b/>
          <w:kern w:val="0"/>
          <w:sz w:val="24"/>
          <w:szCs w:val="24"/>
        </w:rPr>
        <w:t>；</w:t>
      </w:r>
    </w:p>
    <w:p w:rsidR="00EC5178" w:rsidRPr="00EC5178" w:rsidRDefault="00EC5178" w:rsidP="00EC5178">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监事会认为</w:t>
      </w:r>
      <w:r w:rsidRPr="00EC5178">
        <w:rPr>
          <w:rFonts w:ascii="Times New Roman" w:hAnsi="Times New Roman" w:hint="eastAsia"/>
          <w:kern w:val="0"/>
          <w:sz w:val="24"/>
          <w:szCs w:val="24"/>
        </w:rPr>
        <w:t>，</w:t>
      </w:r>
      <w:r w:rsidRPr="00EC5178">
        <w:rPr>
          <w:rFonts w:ascii="Times New Roman" w:hAnsi="Times New Roman" w:hint="eastAsia"/>
          <w:kern w:val="0"/>
          <w:sz w:val="24"/>
          <w:szCs w:val="24"/>
        </w:rPr>
        <w:t>2017</w:t>
      </w:r>
      <w:r w:rsidRPr="00EC5178">
        <w:rPr>
          <w:rFonts w:ascii="Times New Roman" w:hAnsi="Times New Roman" w:hint="eastAsia"/>
          <w:kern w:val="0"/>
          <w:sz w:val="24"/>
          <w:szCs w:val="24"/>
        </w:rPr>
        <w:t>年度上市公司为控股子公司提供担保是公司及各子公司实际业务开展的需要，为子公司提供担保有助于子公司高效、顺畅地筹集资金</w:t>
      </w:r>
      <w:r w:rsidRPr="00EC5178">
        <w:rPr>
          <w:rFonts w:ascii="Times New Roman" w:hAnsi="Times New Roman" w:hint="eastAsia"/>
          <w:kern w:val="0"/>
          <w:sz w:val="24"/>
          <w:szCs w:val="24"/>
        </w:rPr>
        <w:t>,</w:t>
      </w:r>
      <w:r w:rsidRPr="00EC5178">
        <w:rPr>
          <w:rFonts w:ascii="Times New Roman" w:hAnsi="Times New Roman" w:hint="eastAsia"/>
          <w:kern w:val="0"/>
          <w:sz w:val="24"/>
          <w:szCs w:val="24"/>
        </w:rPr>
        <w:t>进一步提高经济效益</w:t>
      </w:r>
      <w:r w:rsidR="00DD3B8E">
        <w:rPr>
          <w:rFonts w:ascii="Times New Roman" w:hAnsi="Times New Roman" w:hint="eastAsia"/>
          <w:kern w:val="0"/>
          <w:sz w:val="24"/>
          <w:szCs w:val="24"/>
        </w:rPr>
        <w:t>，</w:t>
      </w:r>
      <w:r w:rsidRPr="00EC5178">
        <w:rPr>
          <w:rFonts w:ascii="Times New Roman" w:hAnsi="Times New Roman" w:hint="eastAsia"/>
          <w:kern w:val="0"/>
          <w:sz w:val="24"/>
          <w:szCs w:val="24"/>
        </w:rPr>
        <w:t>没有损害公司及公司股东尤其是中小股东的利益。本议案对全年内部担保总额</w:t>
      </w:r>
      <w:proofErr w:type="gramStart"/>
      <w:r w:rsidRPr="00EC5178">
        <w:rPr>
          <w:rFonts w:ascii="Times New Roman" w:hAnsi="Times New Roman" w:hint="eastAsia"/>
          <w:kern w:val="0"/>
          <w:sz w:val="24"/>
          <w:szCs w:val="24"/>
        </w:rPr>
        <w:t>作出</w:t>
      </w:r>
      <w:proofErr w:type="gramEnd"/>
      <w:r w:rsidRPr="00EC5178">
        <w:rPr>
          <w:rFonts w:ascii="Times New Roman" w:hAnsi="Times New Roman" w:hint="eastAsia"/>
          <w:kern w:val="0"/>
          <w:sz w:val="24"/>
          <w:szCs w:val="24"/>
        </w:rPr>
        <w:t>预计</w:t>
      </w:r>
      <w:r>
        <w:rPr>
          <w:rFonts w:ascii="Times New Roman" w:hAnsi="Times New Roman" w:hint="eastAsia"/>
          <w:kern w:val="0"/>
          <w:sz w:val="24"/>
          <w:szCs w:val="24"/>
        </w:rPr>
        <w:t>，</w:t>
      </w:r>
      <w:r w:rsidRPr="00EC5178">
        <w:rPr>
          <w:rFonts w:ascii="Times New Roman" w:hAnsi="Times New Roman" w:hint="eastAsia"/>
          <w:kern w:val="0"/>
          <w:sz w:val="24"/>
          <w:szCs w:val="24"/>
        </w:rPr>
        <w:t>并按相关审议程序进行审议</w:t>
      </w:r>
      <w:r>
        <w:rPr>
          <w:rFonts w:ascii="Times New Roman" w:hAnsi="Times New Roman" w:hint="eastAsia"/>
          <w:kern w:val="0"/>
          <w:sz w:val="24"/>
          <w:szCs w:val="24"/>
        </w:rPr>
        <w:t>，满足法律法规的相关要求。我们同意前述议案，</w:t>
      </w:r>
      <w:r w:rsidRPr="00EC5178">
        <w:rPr>
          <w:rFonts w:ascii="Times New Roman" w:hAnsi="Times New Roman" w:hint="eastAsia"/>
          <w:kern w:val="0"/>
          <w:sz w:val="24"/>
          <w:szCs w:val="24"/>
        </w:rPr>
        <w:t>并提交</w:t>
      </w:r>
      <w:r w:rsidRPr="00EC5178">
        <w:rPr>
          <w:rFonts w:ascii="Times New Roman" w:hAnsi="Times New Roman" w:hint="eastAsia"/>
          <w:kern w:val="0"/>
          <w:sz w:val="24"/>
          <w:szCs w:val="24"/>
        </w:rPr>
        <w:t>201</w:t>
      </w:r>
      <w:r>
        <w:rPr>
          <w:rFonts w:ascii="Times New Roman" w:hAnsi="Times New Roman" w:hint="eastAsia"/>
          <w:kern w:val="0"/>
          <w:sz w:val="24"/>
          <w:szCs w:val="24"/>
        </w:rPr>
        <w:t>6</w:t>
      </w:r>
      <w:r w:rsidRPr="00EC5178">
        <w:rPr>
          <w:rFonts w:ascii="Times New Roman" w:hAnsi="Times New Roman" w:hint="eastAsia"/>
          <w:kern w:val="0"/>
          <w:sz w:val="24"/>
          <w:szCs w:val="24"/>
        </w:rPr>
        <w:t>年度股东大会审议。</w:t>
      </w:r>
    </w:p>
    <w:p w:rsidR="009B5F74" w:rsidRDefault="009B5F74" w:rsidP="00D7554A">
      <w:pPr>
        <w:autoSpaceDE w:val="0"/>
        <w:autoSpaceDN w:val="0"/>
        <w:adjustRightInd w:val="0"/>
        <w:spacing w:line="360" w:lineRule="auto"/>
        <w:ind w:firstLineChars="200" w:firstLine="480"/>
        <w:jc w:val="left"/>
        <w:rPr>
          <w:rFonts w:ascii="Times New Roman" w:hAnsi="Times New Roman"/>
          <w:kern w:val="0"/>
          <w:sz w:val="24"/>
          <w:szCs w:val="24"/>
        </w:rPr>
      </w:pPr>
    </w:p>
    <w:p w:rsidR="00D7554A" w:rsidRPr="00707B98" w:rsidRDefault="000A1B6A" w:rsidP="00D7554A">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2016</w:t>
      </w:r>
      <w:r>
        <w:rPr>
          <w:rFonts w:ascii="Times New Roman" w:hAnsi="Times New Roman" w:hint="eastAsia"/>
          <w:kern w:val="0"/>
          <w:sz w:val="24"/>
          <w:szCs w:val="24"/>
        </w:rPr>
        <w:t>年</w:t>
      </w:r>
      <w:r w:rsidR="00D7554A">
        <w:rPr>
          <w:rFonts w:ascii="Times New Roman" w:hAnsi="Times New Roman" w:hint="eastAsia"/>
          <w:kern w:val="0"/>
          <w:sz w:val="24"/>
          <w:szCs w:val="24"/>
        </w:rPr>
        <w:t>年度股东大会时间将另行通知。</w:t>
      </w:r>
    </w:p>
    <w:p w:rsidR="001B0717" w:rsidRDefault="001B0717" w:rsidP="00D7554A">
      <w:pPr>
        <w:autoSpaceDE w:val="0"/>
        <w:autoSpaceDN w:val="0"/>
        <w:adjustRightInd w:val="0"/>
        <w:spacing w:line="360" w:lineRule="auto"/>
        <w:ind w:firstLineChars="200" w:firstLine="480"/>
        <w:jc w:val="left"/>
        <w:rPr>
          <w:rFonts w:ascii="Times New Roman" w:hAnsi="Times New Roman"/>
          <w:kern w:val="0"/>
          <w:sz w:val="24"/>
          <w:szCs w:val="24"/>
        </w:rPr>
      </w:pPr>
    </w:p>
    <w:p w:rsidR="00D7554A" w:rsidRDefault="001B0717" w:rsidP="00D7554A">
      <w:pPr>
        <w:autoSpaceDE w:val="0"/>
        <w:autoSpaceDN w:val="0"/>
        <w:adjustRightInd w:val="0"/>
        <w:spacing w:line="360" w:lineRule="auto"/>
        <w:ind w:firstLineChars="200" w:firstLine="480"/>
        <w:jc w:val="left"/>
        <w:rPr>
          <w:rFonts w:ascii="Times New Roman" w:hAnsi="Times New Roman"/>
          <w:kern w:val="0"/>
          <w:sz w:val="24"/>
          <w:szCs w:val="24"/>
        </w:rPr>
      </w:pPr>
      <w:r w:rsidRPr="00ED00B0">
        <w:rPr>
          <w:rFonts w:ascii="Times New Roman" w:hAnsi="Times New Roman" w:hint="eastAsia"/>
          <w:kern w:val="0"/>
          <w:sz w:val="24"/>
          <w:szCs w:val="24"/>
        </w:rPr>
        <w:t>附件</w:t>
      </w:r>
      <w:r>
        <w:rPr>
          <w:rFonts w:ascii="Times New Roman" w:hAnsi="Times New Roman" w:hint="eastAsia"/>
          <w:kern w:val="0"/>
          <w:sz w:val="24"/>
          <w:szCs w:val="24"/>
        </w:rPr>
        <w:t>：</w:t>
      </w:r>
      <w:r w:rsidRPr="00ED00B0">
        <w:rPr>
          <w:rFonts w:ascii="Times New Roman" w:hAnsi="Times New Roman" w:hint="eastAsia"/>
          <w:kern w:val="0"/>
          <w:sz w:val="24"/>
          <w:szCs w:val="24"/>
        </w:rPr>
        <w:t>章程修订内容对比表</w:t>
      </w:r>
      <w:r>
        <w:rPr>
          <w:rFonts w:ascii="Times New Roman" w:hAnsi="Times New Roman" w:hint="eastAsia"/>
          <w:kern w:val="0"/>
          <w:sz w:val="24"/>
          <w:szCs w:val="24"/>
        </w:rPr>
        <w:t>。</w:t>
      </w:r>
    </w:p>
    <w:p w:rsidR="001B0717" w:rsidRDefault="001B0717" w:rsidP="00D7554A">
      <w:pPr>
        <w:autoSpaceDE w:val="0"/>
        <w:autoSpaceDN w:val="0"/>
        <w:adjustRightInd w:val="0"/>
        <w:spacing w:line="360" w:lineRule="auto"/>
        <w:ind w:firstLineChars="200" w:firstLine="480"/>
        <w:jc w:val="left"/>
        <w:rPr>
          <w:rFonts w:ascii="Times New Roman" w:hAnsi="Times New Roman"/>
          <w:kern w:val="0"/>
          <w:sz w:val="24"/>
          <w:szCs w:val="24"/>
        </w:rPr>
      </w:pPr>
    </w:p>
    <w:p w:rsidR="00D7554A" w:rsidRPr="00707B98" w:rsidRDefault="00D7554A" w:rsidP="00D7554A">
      <w:pPr>
        <w:autoSpaceDE w:val="0"/>
        <w:autoSpaceDN w:val="0"/>
        <w:adjustRightInd w:val="0"/>
        <w:spacing w:line="360" w:lineRule="auto"/>
        <w:ind w:firstLineChars="200" w:firstLine="480"/>
        <w:jc w:val="left"/>
        <w:rPr>
          <w:rFonts w:ascii="Times New Roman" w:hAnsi="Times New Roman"/>
          <w:kern w:val="0"/>
          <w:sz w:val="24"/>
          <w:szCs w:val="24"/>
        </w:rPr>
      </w:pPr>
      <w:r w:rsidRPr="00707B98">
        <w:rPr>
          <w:rFonts w:ascii="Times New Roman" w:hAnsi="Times New Roman"/>
          <w:kern w:val="0"/>
          <w:sz w:val="24"/>
          <w:szCs w:val="24"/>
        </w:rPr>
        <w:t>特此公告。</w:t>
      </w:r>
    </w:p>
    <w:p w:rsidR="00D7554A" w:rsidRPr="00707B98" w:rsidRDefault="00D7554A" w:rsidP="00D7554A">
      <w:pPr>
        <w:autoSpaceDE w:val="0"/>
        <w:autoSpaceDN w:val="0"/>
        <w:adjustRightInd w:val="0"/>
        <w:spacing w:line="360" w:lineRule="auto"/>
        <w:jc w:val="right"/>
        <w:rPr>
          <w:rFonts w:ascii="Times New Roman" w:hAnsi="Times New Roman"/>
          <w:kern w:val="0"/>
          <w:sz w:val="24"/>
          <w:szCs w:val="24"/>
        </w:rPr>
      </w:pPr>
      <w:r w:rsidRPr="00707B98">
        <w:rPr>
          <w:rFonts w:ascii="Times New Roman" w:hAnsi="Times New Roman"/>
          <w:kern w:val="0"/>
          <w:sz w:val="24"/>
          <w:szCs w:val="24"/>
        </w:rPr>
        <w:t>华孚色纺股份有限公司监事会</w:t>
      </w:r>
    </w:p>
    <w:p w:rsidR="007A670C" w:rsidRDefault="00D7554A" w:rsidP="00D7554A">
      <w:pPr>
        <w:autoSpaceDE w:val="0"/>
        <w:autoSpaceDN w:val="0"/>
        <w:adjustRightInd w:val="0"/>
        <w:spacing w:line="360" w:lineRule="auto"/>
        <w:jc w:val="right"/>
        <w:rPr>
          <w:rFonts w:ascii="Times New Roman" w:hAnsi="Times New Roman"/>
          <w:kern w:val="0"/>
          <w:sz w:val="24"/>
          <w:szCs w:val="24"/>
        </w:rPr>
      </w:pPr>
      <w:r w:rsidRPr="00707B98">
        <w:rPr>
          <w:rFonts w:ascii="Times New Roman" w:hAnsi="Times New Roman" w:hint="eastAsia"/>
          <w:kern w:val="0"/>
          <w:sz w:val="24"/>
          <w:szCs w:val="24"/>
        </w:rPr>
        <w:t>二〇一</w:t>
      </w:r>
      <w:r>
        <w:rPr>
          <w:rFonts w:ascii="Times New Roman" w:hAnsi="Times New Roman" w:hint="eastAsia"/>
          <w:kern w:val="0"/>
          <w:sz w:val="24"/>
          <w:szCs w:val="24"/>
        </w:rPr>
        <w:t>七</w:t>
      </w:r>
      <w:r w:rsidRPr="00707B98">
        <w:rPr>
          <w:rFonts w:ascii="Times New Roman" w:hAnsi="Times New Roman"/>
          <w:kern w:val="0"/>
          <w:sz w:val="24"/>
          <w:szCs w:val="24"/>
        </w:rPr>
        <w:t>年</w:t>
      </w:r>
      <w:r w:rsidR="000A1B6A">
        <w:rPr>
          <w:rFonts w:ascii="Times New Roman" w:hAnsi="Times New Roman" w:hint="eastAsia"/>
          <w:kern w:val="0"/>
          <w:sz w:val="24"/>
          <w:szCs w:val="24"/>
        </w:rPr>
        <w:t>四</w:t>
      </w:r>
      <w:r w:rsidRPr="00707B98">
        <w:rPr>
          <w:rFonts w:ascii="Times New Roman" w:hAnsi="Times New Roman"/>
          <w:kern w:val="0"/>
          <w:sz w:val="24"/>
          <w:szCs w:val="24"/>
        </w:rPr>
        <w:t>月</w:t>
      </w:r>
      <w:r>
        <w:rPr>
          <w:rFonts w:ascii="Times New Roman" w:hAnsi="Times New Roman" w:hint="eastAsia"/>
          <w:kern w:val="0"/>
          <w:sz w:val="24"/>
          <w:szCs w:val="24"/>
        </w:rPr>
        <w:t>二十</w:t>
      </w:r>
      <w:r w:rsidR="000A1B6A">
        <w:rPr>
          <w:rFonts w:ascii="Times New Roman" w:hAnsi="Times New Roman" w:hint="eastAsia"/>
          <w:kern w:val="0"/>
          <w:sz w:val="24"/>
          <w:szCs w:val="24"/>
        </w:rPr>
        <w:t>五</w:t>
      </w:r>
      <w:r w:rsidRPr="00707B98">
        <w:rPr>
          <w:rFonts w:ascii="Times New Roman" w:hAnsi="Times New Roman"/>
          <w:kern w:val="0"/>
          <w:sz w:val="24"/>
          <w:szCs w:val="24"/>
        </w:rPr>
        <w:t>日</w:t>
      </w:r>
    </w:p>
    <w:p w:rsidR="007A670C" w:rsidRDefault="007A670C">
      <w:pPr>
        <w:widowControl/>
        <w:jc w:val="left"/>
        <w:rPr>
          <w:rFonts w:ascii="Times New Roman" w:hAnsi="Times New Roman"/>
          <w:kern w:val="0"/>
          <w:sz w:val="24"/>
          <w:szCs w:val="24"/>
        </w:rPr>
      </w:pPr>
      <w:r>
        <w:rPr>
          <w:rFonts w:ascii="Times New Roman" w:hAnsi="Times New Roman"/>
          <w:kern w:val="0"/>
          <w:sz w:val="24"/>
          <w:szCs w:val="24"/>
        </w:rPr>
        <w:br w:type="page"/>
      </w:r>
    </w:p>
    <w:p w:rsidR="00D7554A" w:rsidRDefault="00D7554A" w:rsidP="00D7554A">
      <w:pPr>
        <w:autoSpaceDE w:val="0"/>
        <w:autoSpaceDN w:val="0"/>
        <w:adjustRightInd w:val="0"/>
        <w:spacing w:line="360" w:lineRule="auto"/>
        <w:jc w:val="right"/>
      </w:pPr>
    </w:p>
    <w:p w:rsidR="007A670C" w:rsidRPr="006462C5" w:rsidRDefault="007A670C" w:rsidP="007A670C">
      <w:pPr>
        <w:autoSpaceDE w:val="0"/>
        <w:autoSpaceDN w:val="0"/>
        <w:adjustRightInd w:val="0"/>
        <w:spacing w:beforeLines="50" w:before="156" w:afterLines="50" w:after="156" w:line="360" w:lineRule="auto"/>
        <w:jc w:val="left"/>
        <w:rPr>
          <w:rFonts w:asciiTheme="minorEastAsia" w:hAnsiTheme="minorEastAsia" w:cs="黑体"/>
          <w:b/>
          <w:color w:val="000000"/>
          <w:kern w:val="0"/>
          <w:sz w:val="24"/>
          <w:szCs w:val="24"/>
        </w:rPr>
      </w:pPr>
      <w:r>
        <w:rPr>
          <w:rFonts w:asciiTheme="minorEastAsia" w:hAnsiTheme="minorEastAsia" w:hint="eastAsia"/>
          <w:b/>
          <w:sz w:val="24"/>
          <w:szCs w:val="24"/>
        </w:rPr>
        <w:t>附件：</w:t>
      </w:r>
      <w:r w:rsidRPr="006462C5">
        <w:rPr>
          <w:rFonts w:asciiTheme="minorEastAsia" w:hAnsiTheme="minorEastAsia" w:hint="eastAsia"/>
          <w:b/>
          <w:sz w:val="24"/>
          <w:szCs w:val="24"/>
        </w:rPr>
        <w:t>章程修订内容对比表</w:t>
      </w:r>
    </w:p>
    <w:tbl>
      <w:tblPr>
        <w:tblW w:w="10418" w:type="dxa"/>
        <w:tblInd w:w="-743" w:type="dxa"/>
        <w:tblLook w:val="04A0" w:firstRow="1" w:lastRow="0" w:firstColumn="1" w:lastColumn="0" w:noHBand="0" w:noVBand="1"/>
      </w:tblPr>
      <w:tblGrid>
        <w:gridCol w:w="709"/>
        <w:gridCol w:w="1845"/>
        <w:gridCol w:w="3932"/>
        <w:gridCol w:w="3932"/>
      </w:tblGrid>
      <w:tr w:rsidR="007A670C" w:rsidRPr="00FD61C1" w:rsidTr="006418E3">
        <w:trPr>
          <w:trHeight w:val="27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A670C" w:rsidRPr="00FD61C1" w:rsidRDefault="007A670C" w:rsidP="006418E3">
            <w:pPr>
              <w:widowControl/>
              <w:jc w:val="center"/>
              <w:rPr>
                <w:rFonts w:ascii="宋体" w:hAnsi="宋体" w:cs="宋体"/>
                <w:b/>
                <w:bCs/>
                <w:color w:val="000000"/>
                <w:kern w:val="0"/>
                <w:sz w:val="22"/>
                <w:szCs w:val="24"/>
              </w:rPr>
            </w:pPr>
            <w:r w:rsidRPr="00FD61C1">
              <w:rPr>
                <w:rFonts w:ascii="宋体" w:hAnsi="宋体" w:cs="宋体" w:hint="eastAsia"/>
                <w:b/>
                <w:bCs/>
                <w:color w:val="000000"/>
                <w:kern w:val="0"/>
                <w:sz w:val="22"/>
                <w:szCs w:val="24"/>
              </w:rPr>
              <w:t>序号</w:t>
            </w:r>
          </w:p>
        </w:tc>
        <w:tc>
          <w:tcPr>
            <w:tcW w:w="1845" w:type="dxa"/>
            <w:tcBorders>
              <w:top w:val="single" w:sz="4" w:space="0" w:color="auto"/>
              <w:left w:val="nil"/>
              <w:bottom w:val="single" w:sz="4" w:space="0" w:color="auto"/>
              <w:right w:val="single" w:sz="4" w:space="0" w:color="auto"/>
            </w:tcBorders>
            <w:noWrap/>
            <w:vAlign w:val="center"/>
            <w:hideMark/>
          </w:tcPr>
          <w:p w:rsidR="007A670C" w:rsidRPr="00FD61C1" w:rsidRDefault="007A670C" w:rsidP="006418E3">
            <w:pPr>
              <w:widowControl/>
              <w:jc w:val="center"/>
              <w:rPr>
                <w:rFonts w:ascii="宋体" w:hAnsi="宋体" w:cs="宋体"/>
                <w:b/>
                <w:bCs/>
                <w:color w:val="000000"/>
                <w:kern w:val="0"/>
                <w:sz w:val="22"/>
                <w:szCs w:val="24"/>
              </w:rPr>
            </w:pPr>
            <w:r w:rsidRPr="00FD61C1">
              <w:rPr>
                <w:rFonts w:ascii="宋体" w:hAnsi="宋体" w:cs="宋体" w:hint="eastAsia"/>
                <w:b/>
                <w:bCs/>
                <w:color w:val="000000"/>
                <w:kern w:val="0"/>
                <w:sz w:val="22"/>
                <w:szCs w:val="24"/>
              </w:rPr>
              <w:t>条款</w:t>
            </w:r>
          </w:p>
        </w:tc>
        <w:tc>
          <w:tcPr>
            <w:tcW w:w="3932" w:type="dxa"/>
            <w:tcBorders>
              <w:top w:val="single" w:sz="4" w:space="0" w:color="auto"/>
              <w:left w:val="nil"/>
              <w:bottom w:val="single" w:sz="4" w:space="0" w:color="auto"/>
              <w:right w:val="single" w:sz="4" w:space="0" w:color="auto"/>
            </w:tcBorders>
            <w:vAlign w:val="center"/>
            <w:hideMark/>
          </w:tcPr>
          <w:p w:rsidR="007A670C" w:rsidRPr="00FD61C1" w:rsidRDefault="007A670C" w:rsidP="006418E3">
            <w:pPr>
              <w:widowControl/>
              <w:jc w:val="center"/>
              <w:rPr>
                <w:rFonts w:ascii="宋体" w:hAnsi="宋体" w:cs="宋体"/>
                <w:b/>
                <w:bCs/>
                <w:color w:val="000000"/>
                <w:kern w:val="0"/>
                <w:sz w:val="22"/>
                <w:szCs w:val="24"/>
              </w:rPr>
            </w:pPr>
            <w:r w:rsidRPr="00FD61C1">
              <w:rPr>
                <w:rFonts w:ascii="宋体" w:hAnsi="宋体" w:cs="宋体" w:hint="eastAsia"/>
                <w:b/>
                <w:bCs/>
                <w:color w:val="000000"/>
                <w:kern w:val="0"/>
                <w:sz w:val="22"/>
                <w:szCs w:val="24"/>
              </w:rPr>
              <w:t>原内容</w:t>
            </w:r>
          </w:p>
        </w:tc>
        <w:tc>
          <w:tcPr>
            <w:tcW w:w="3932" w:type="dxa"/>
            <w:tcBorders>
              <w:top w:val="single" w:sz="4" w:space="0" w:color="auto"/>
              <w:left w:val="nil"/>
              <w:bottom w:val="single" w:sz="4" w:space="0" w:color="auto"/>
              <w:right w:val="single" w:sz="4" w:space="0" w:color="auto"/>
            </w:tcBorders>
            <w:vAlign w:val="center"/>
            <w:hideMark/>
          </w:tcPr>
          <w:p w:rsidR="007A670C" w:rsidRPr="00FD61C1" w:rsidRDefault="007A670C" w:rsidP="006418E3">
            <w:pPr>
              <w:widowControl/>
              <w:jc w:val="center"/>
              <w:rPr>
                <w:rFonts w:ascii="宋体" w:hAnsi="宋体" w:cs="宋体"/>
                <w:b/>
                <w:bCs/>
                <w:color w:val="000000"/>
                <w:kern w:val="0"/>
                <w:sz w:val="22"/>
                <w:szCs w:val="24"/>
              </w:rPr>
            </w:pPr>
            <w:r w:rsidRPr="00FD61C1">
              <w:rPr>
                <w:rFonts w:ascii="宋体" w:hAnsi="宋体" w:cs="宋体" w:hint="eastAsia"/>
                <w:b/>
                <w:bCs/>
                <w:color w:val="000000"/>
                <w:kern w:val="0"/>
                <w:sz w:val="22"/>
                <w:szCs w:val="24"/>
              </w:rPr>
              <w:t>修改</w:t>
            </w:r>
            <w:proofErr w:type="gramStart"/>
            <w:r w:rsidRPr="00FD61C1">
              <w:rPr>
                <w:rFonts w:ascii="宋体" w:hAnsi="宋体" w:cs="宋体" w:hint="eastAsia"/>
                <w:b/>
                <w:bCs/>
                <w:color w:val="000000"/>
                <w:kern w:val="0"/>
                <w:sz w:val="22"/>
                <w:szCs w:val="24"/>
              </w:rPr>
              <w:t>后内容</w:t>
            </w:r>
            <w:proofErr w:type="gramEnd"/>
          </w:p>
        </w:tc>
      </w:tr>
      <w:tr w:rsidR="007A670C" w:rsidRPr="00FD61C1" w:rsidTr="006418E3">
        <w:trPr>
          <w:trHeight w:val="1080"/>
        </w:trPr>
        <w:tc>
          <w:tcPr>
            <w:tcW w:w="709" w:type="dxa"/>
            <w:tcBorders>
              <w:top w:val="nil"/>
              <w:left w:val="single" w:sz="8" w:space="0" w:color="auto"/>
              <w:bottom w:val="single" w:sz="4" w:space="0" w:color="auto"/>
              <w:right w:val="single" w:sz="4" w:space="0" w:color="auto"/>
            </w:tcBorders>
            <w:noWrap/>
            <w:vAlign w:val="center"/>
            <w:hideMark/>
          </w:tcPr>
          <w:p w:rsidR="007A670C" w:rsidRPr="00FD61C1" w:rsidRDefault="007A670C" w:rsidP="006418E3">
            <w:pPr>
              <w:widowControl/>
              <w:jc w:val="center"/>
              <w:rPr>
                <w:rFonts w:ascii="宋体" w:hAnsi="宋体" w:cs="宋体"/>
                <w:color w:val="000000"/>
                <w:kern w:val="0"/>
                <w:sz w:val="22"/>
                <w:szCs w:val="24"/>
              </w:rPr>
            </w:pPr>
            <w:r w:rsidRPr="00FD61C1">
              <w:rPr>
                <w:rFonts w:ascii="宋体" w:hAnsi="宋体" w:cs="宋体" w:hint="eastAsia"/>
                <w:color w:val="000000"/>
                <w:kern w:val="0"/>
                <w:sz w:val="22"/>
                <w:szCs w:val="24"/>
              </w:rPr>
              <w:t>1</w:t>
            </w:r>
          </w:p>
        </w:tc>
        <w:tc>
          <w:tcPr>
            <w:tcW w:w="1845" w:type="dxa"/>
            <w:tcBorders>
              <w:top w:val="nil"/>
              <w:left w:val="nil"/>
              <w:bottom w:val="single" w:sz="4" w:space="0" w:color="auto"/>
              <w:right w:val="single" w:sz="4" w:space="0" w:color="auto"/>
            </w:tcBorders>
            <w:noWrap/>
            <w:vAlign w:val="center"/>
            <w:hideMark/>
          </w:tcPr>
          <w:p w:rsidR="007A670C" w:rsidRPr="00FD61C1" w:rsidRDefault="007A670C" w:rsidP="006418E3">
            <w:pPr>
              <w:widowControl/>
              <w:jc w:val="left"/>
              <w:rPr>
                <w:rFonts w:ascii="宋体" w:hAnsi="宋体" w:cs="宋体"/>
                <w:color w:val="000000"/>
                <w:kern w:val="0"/>
                <w:sz w:val="22"/>
                <w:szCs w:val="24"/>
              </w:rPr>
            </w:pPr>
            <w:r w:rsidRPr="00FD61C1">
              <w:rPr>
                <w:rFonts w:ascii="宋体" w:hAnsi="宋体" w:cs="宋体" w:hint="eastAsia"/>
                <w:color w:val="000000"/>
                <w:kern w:val="0"/>
                <w:sz w:val="22"/>
                <w:szCs w:val="24"/>
              </w:rPr>
              <w:t xml:space="preserve">  第</w:t>
            </w:r>
            <w:r>
              <w:rPr>
                <w:rFonts w:ascii="宋体" w:hAnsi="宋体" w:cs="宋体" w:hint="eastAsia"/>
                <w:color w:val="000000"/>
                <w:kern w:val="0"/>
                <w:sz w:val="22"/>
                <w:szCs w:val="24"/>
              </w:rPr>
              <w:t>三</w:t>
            </w:r>
            <w:r w:rsidRPr="00FD61C1">
              <w:rPr>
                <w:rFonts w:ascii="宋体" w:hAnsi="宋体" w:cs="宋体" w:hint="eastAsia"/>
                <w:color w:val="000000"/>
                <w:kern w:val="0"/>
                <w:sz w:val="22"/>
                <w:szCs w:val="24"/>
              </w:rPr>
              <w:t xml:space="preserve">条  </w:t>
            </w:r>
          </w:p>
        </w:tc>
        <w:tc>
          <w:tcPr>
            <w:tcW w:w="3932" w:type="dxa"/>
            <w:tcBorders>
              <w:top w:val="nil"/>
              <w:left w:val="nil"/>
              <w:bottom w:val="single" w:sz="4" w:space="0" w:color="auto"/>
              <w:right w:val="single" w:sz="4" w:space="0" w:color="auto"/>
            </w:tcBorders>
            <w:vAlign w:val="center"/>
            <w:hideMark/>
          </w:tcPr>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 xml:space="preserve">公司于2005年3月22日经中国证券监督管理委员会批准，首次向社会公众发行人民币普通股4000万股，于2005年4月27日在深圳证券交易所上市。 </w:t>
            </w:r>
          </w:p>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公司于2009年4月27日经中国证券监督管理委员会批准，定向增发人民币普通股13511.1万股，于2009年6月9日在深圳证券交易所上市。公司于2010年11月17日经中国证券监督管理委员会批准，向符合条件的特定投资者发行人民币普通股（A股）4,255.3191万股，于2010年12月16日在深圳证券交易所上市。</w:t>
            </w:r>
          </w:p>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经公司2011年8月15日股东大会批准通过，公司2011年半年度利润分配方案，公司以2011年6月30日的总股本27,766.4191万股为基数，每10股资本公积转增10股，转增后，公司股本由27,766.4191万股增加至55,532.8382万股。</w:t>
            </w:r>
          </w:p>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经公司2012年4月20日股东大会审批通过，公司2011年度利润分配方案，公司以2011年12月31日的总股本55,532.8382万股为基数，每10股派发现金红利1元（含税），共计派发现金55,532,838.20元；2011年度以资本公积金向全体股东每10股转增5股，转增后，公司股本由55,532.8382万股增加至83,299.2573万股。</w:t>
            </w:r>
          </w:p>
          <w:p w:rsidR="007A670C" w:rsidRPr="00FD61C1" w:rsidRDefault="007A670C" w:rsidP="006418E3">
            <w:pPr>
              <w:widowControl/>
              <w:ind w:firstLineChars="200" w:firstLine="440"/>
              <w:jc w:val="left"/>
              <w:rPr>
                <w:rFonts w:ascii="宋体" w:hAnsi="宋体" w:cs="宋体"/>
                <w:color w:val="000000"/>
                <w:kern w:val="0"/>
                <w:sz w:val="22"/>
                <w:szCs w:val="24"/>
              </w:rPr>
            </w:pPr>
          </w:p>
        </w:tc>
        <w:tc>
          <w:tcPr>
            <w:tcW w:w="3932" w:type="dxa"/>
            <w:tcBorders>
              <w:top w:val="nil"/>
              <w:left w:val="nil"/>
              <w:bottom w:val="single" w:sz="4" w:space="0" w:color="auto"/>
              <w:right w:val="single" w:sz="8" w:space="0" w:color="auto"/>
            </w:tcBorders>
            <w:vAlign w:val="center"/>
            <w:hideMark/>
          </w:tcPr>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 xml:space="preserve">公司于2005年3月22日经中国证券监督管理委员会批准，首次向社会公众发行人民币普通股4000万股，于2005年4月27日在深圳证券交易所上市。 </w:t>
            </w:r>
          </w:p>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公司于2009年4月27日经中国证券监督管理委员会批准，定向增发人民币普通股13511.1万股，于2009年6月9日在深圳证券交易所上市。公司于2010年11月17日经中国证券监督管理委员会批准，向符合条件的特定投资者发行人民币普通股（A股）4,255.3191万股，于2010年12月16日在深圳证券交易所上市。</w:t>
            </w:r>
          </w:p>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经公司2011年8月15日股东大会批准通过，公司2011年半年度利润分配方案，公司以2011年6月30日的总股本27,766.4191万股为基数，每10股资本公积转增10股，转增后，公司股本由27,766.4191万股增加至55,532.8382万股。</w:t>
            </w:r>
          </w:p>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经公司2012年4月20日股东大会审批通过，公司2011年度利润分配方案，公司以2011年12月31日的总股本55,532.8382万股为基数，每10股派发现金红利1元（含税），共计派发现金55,532,838.20元；2011年度以资本公积金向全体股东每10股转增5股，转增后，公司股本由55,532.8382万股增加至83,299.2573万股。</w:t>
            </w:r>
          </w:p>
          <w:p w:rsidR="007A670C" w:rsidRPr="00FD61C1" w:rsidRDefault="007A670C" w:rsidP="006418E3">
            <w:pPr>
              <w:widowControl/>
              <w:wordWrap w:val="0"/>
              <w:ind w:firstLineChars="200" w:firstLine="442"/>
              <w:jc w:val="left"/>
              <w:rPr>
                <w:rFonts w:ascii="宋体" w:hAnsi="宋体" w:cs="宋体"/>
                <w:b/>
                <w:color w:val="000000"/>
                <w:kern w:val="0"/>
                <w:sz w:val="22"/>
                <w:szCs w:val="24"/>
              </w:rPr>
            </w:pPr>
            <w:r w:rsidRPr="00FD61C1">
              <w:rPr>
                <w:rFonts w:ascii="宋体" w:hAnsi="宋体" w:cs="宋体" w:hint="eastAsia"/>
                <w:b/>
                <w:color w:val="000000"/>
                <w:kern w:val="0"/>
                <w:sz w:val="22"/>
                <w:szCs w:val="24"/>
              </w:rPr>
              <w:t>公司于2016年12月28日经中国证券监督管理委员会批准，</w:t>
            </w:r>
            <w:r w:rsidR="007F581C">
              <w:rPr>
                <w:rFonts w:ascii="宋体" w:hAnsi="宋体" w:cs="宋体" w:hint="eastAsia"/>
                <w:b/>
                <w:color w:val="000000"/>
                <w:kern w:val="0"/>
                <w:sz w:val="22"/>
                <w:szCs w:val="24"/>
              </w:rPr>
              <w:t>于2017年2月27日</w:t>
            </w:r>
            <w:r w:rsidRPr="00FD61C1">
              <w:rPr>
                <w:rFonts w:ascii="宋体" w:hAnsi="宋体" w:cs="宋体" w:hint="eastAsia"/>
                <w:b/>
                <w:color w:val="000000"/>
                <w:kern w:val="0"/>
                <w:sz w:val="22"/>
                <w:szCs w:val="24"/>
              </w:rPr>
              <w:t>向符合条件的特定投资者发行人民币普通股（A股）</w:t>
            </w:r>
            <w:r w:rsidRPr="00FD61C1">
              <w:rPr>
                <w:rFonts w:ascii="宋体" w:hAnsi="宋体" w:cs="宋体"/>
                <w:b/>
                <w:color w:val="000000"/>
                <w:kern w:val="0"/>
                <w:sz w:val="22"/>
                <w:szCs w:val="24"/>
              </w:rPr>
              <w:t>174,326,464</w:t>
            </w:r>
            <w:r w:rsidRPr="00FD61C1">
              <w:rPr>
                <w:rFonts w:ascii="宋体" w:hAnsi="宋体" w:cs="宋体" w:hint="eastAsia"/>
                <w:b/>
                <w:color w:val="000000"/>
                <w:kern w:val="0"/>
                <w:sz w:val="22"/>
                <w:szCs w:val="24"/>
              </w:rPr>
              <w:t>股，</w:t>
            </w:r>
            <w:r>
              <w:rPr>
                <w:rFonts w:ascii="宋体" w:hAnsi="宋体" w:cs="宋体" w:hint="eastAsia"/>
                <w:b/>
                <w:color w:val="000000"/>
                <w:kern w:val="0"/>
                <w:sz w:val="22"/>
                <w:szCs w:val="24"/>
              </w:rPr>
              <w:t>新股</w:t>
            </w:r>
            <w:r w:rsidRPr="00FD61C1">
              <w:rPr>
                <w:rFonts w:ascii="宋体" w:hAnsi="宋体" w:cs="宋体" w:hint="eastAsia"/>
                <w:b/>
                <w:color w:val="000000"/>
                <w:kern w:val="0"/>
                <w:sz w:val="22"/>
                <w:szCs w:val="24"/>
              </w:rPr>
              <w:t>于2017年3月22</w:t>
            </w:r>
            <w:r>
              <w:rPr>
                <w:rFonts w:ascii="宋体" w:hAnsi="宋体" w:cs="宋体" w:hint="eastAsia"/>
                <w:b/>
                <w:color w:val="000000"/>
                <w:kern w:val="0"/>
                <w:sz w:val="22"/>
                <w:szCs w:val="24"/>
              </w:rPr>
              <w:t>日在深圳证券交易所上市。公司股本由</w:t>
            </w:r>
            <w:r w:rsidRPr="00FD61C1">
              <w:rPr>
                <w:rFonts w:ascii="宋体" w:hAnsi="宋体" w:cs="宋体" w:hint="eastAsia"/>
                <w:b/>
                <w:color w:val="000000"/>
                <w:kern w:val="0"/>
                <w:sz w:val="22"/>
                <w:szCs w:val="24"/>
              </w:rPr>
              <w:t>83,299.2573万股变更为</w:t>
            </w:r>
            <w:r w:rsidRPr="00FD61C1">
              <w:rPr>
                <w:rFonts w:ascii="宋体" w:hAnsi="宋体" w:cs="宋体"/>
                <w:b/>
                <w:color w:val="000000"/>
                <w:kern w:val="0"/>
                <w:sz w:val="22"/>
                <w:szCs w:val="24"/>
              </w:rPr>
              <w:t>100</w:t>
            </w:r>
            <w:r w:rsidRPr="00FD61C1">
              <w:rPr>
                <w:rFonts w:ascii="宋体" w:hAnsi="宋体" w:cs="宋体" w:hint="eastAsia"/>
                <w:b/>
                <w:color w:val="000000"/>
                <w:kern w:val="0"/>
                <w:sz w:val="22"/>
                <w:szCs w:val="24"/>
              </w:rPr>
              <w:t>,</w:t>
            </w:r>
            <w:r w:rsidRPr="00FD61C1">
              <w:rPr>
                <w:rFonts w:ascii="宋体" w:hAnsi="宋体" w:cs="宋体"/>
                <w:b/>
                <w:color w:val="000000"/>
                <w:kern w:val="0"/>
                <w:sz w:val="22"/>
                <w:szCs w:val="24"/>
              </w:rPr>
              <w:t>731</w:t>
            </w:r>
            <w:r w:rsidRPr="00FD61C1">
              <w:rPr>
                <w:rFonts w:ascii="宋体" w:hAnsi="宋体" w:cs="宋体" w:hint="eastAsia"/>
                <w:b/>
                <w:color w:val="000000"/>
                <w:kern w:val="0"/>
                <w:sz w:val="22"/>
                <w:szCs w:val="24"/>
              </w:rPr>
              <w:t>.</w:t>
            </w:r>
            <w:r w:rsidRPr="00FD61C1">
              <w:rPr>
                <w:rFonts w:ascii="宋体" w:hAnsi="宋体" w:cs="宋体"/>
                <w:b/>
                <w:color w:val="000000"/>
                <w:kern w:val="0"/>
                <w:sz w:val="22"/>
                <w:szCs w:val="24"/>
              </w:rPr>
              <w:t>9037</w:t>
            </w:r>
            <w:r w:rsidRPr="00FD61C1">
              <w:rPr>
                <w:rFonts w:ascii="宋体" w:hAnsi="宋体" w:cs="宋体" w:hint="eastAsia"/>
                <w:b/>
                <w:color w:val="000000"/>
                <w:kern w:val="0"/>
                <w:sz w:val="22"/>
                <w:szCs w:val="24"/>
              </w:rPr>
              <w:t>万股。</w:t>
            </w:r>
          </w:p>
          <w:p w:rsidR="007A670C" w:rsidRPr="00FD61C1" w:rsidRDefault="007A670C" w:rsidP="006418E3">
            <w:pPr>
              <w:widowControl/>
              <w:ind w:firstLineChars="200" w:firstLine="440"/>
              <w:jc w:val="left"/>
              <w:rPr>
                <w:rFonts w:ascii="宋体" w:hAnsi="宋体" w:cs="宋体"/>
                <w:color w:val="000000"/>
                <w:kern w:val="0"/>
                <w:sz w:val="22"/>
                <w:szCs w:val="24"/>
              </w:rPr>
            </w:pPr>
          </w:p>
        </w:tc>
      </w:tr>
      <w:tr w:rsidR="007A670C" w:rsidRPr="00FD61C1" w:rsidTr="006418E3">
        <w:trPr>
          <w:trHeight w:val="2220"/>
        </w:trPr>
        <w:tc>
          <w:tcPr>
            <w:tcW w:w="709" w:type="dxa"/>
            <w:tcBorders>
              <w:top w:val="nil"/>
              <w:left w:val="single" w:sz="8" w:space="0" w:color="auto"/>
              <w:bottom w:val="single" w:sz="4" w:space="0" w:color="auto"/>
              <w:right w:val="single" w:sz="4" w:space="0" w:color="auto"/>
            </w:tcBorders>
            <w:noWrap/>
            <w:vAlign w:val="center"/>
            <w:hideMark/>
          </w:tcPr>
          <w:p w:rsidR="007A670C" w:rsidRPr="00FD61C1" w:rsidRDefault="007A670C" w:rsidP="006418E3">
            <w:pPr>
              <w:widowControl/>
              <w:jc w:val="center"/>
              <w:rPr>
                <w:rFonts w:ascii="宋体" w:hAnsi="宋体" w:cs="宋体"/>
                <w:color w:val="000000"/>
                <w:kern w:val="0"/>
                <w:sz w:val="22"/>
                <w:szCs w:val="24"/>
              </w:rPr>
            </w:pPr>
            <w:r w:rsidRPr="00FD61C1">
              <w:rPr>
                <w:rFonts w:ascii="宋体" w:hAnsi="宋体" w:cs="宋体" w:hint="eastAsia"/>
                <w:color w:val="000000"/>
                <w:kern w:val="0"/>
                <w:sz w:val="22"/>
                <w:szCs w:val="24"/>
              </w:rPr>
              <w:lastRenderedPageBreak/>
              <w:t>2</w:t>
            </w:r>
          </w:p>
        </w:tc>
        <w:tc>
          <w:tcPr>
            <w:tcW w:w="1845" w:type="dxa"/>
            <w:tcBorders>
              <w:top w:val="nil"/>
              <w:left w:val="nil"/>
              <w:bottom w:val="single" w:sz="4" w:space="0" w:color="auto"/>
              <w:right w:val="single" w:sz="4" w:space="0" w:color="auto"/>
            </w:tcBorders>
            <w:noWrap/>
            <w:vAlign w:val="center"/>
            <w:hideMark/>
          </w:tcPr>
          <w:p w:rsidR="007A670C" w:rsidRPr="00FD61C1" w:rsidRDefault="007A670C" w:rsidP="006418E3">
            <w:pPr>
              <w:widowControl/>
              <w:jc w:val="left"/>
              <w:rPr>
                <w:rFonts w:ascii="宋体" w:hAnsi="宋体" w:cs="宋体"/>
                <w:color w:val="000000"/>
                <w:kern w:val="0"/>
                <w:sz w:val="22"/>
                <w:szCs w:val="24"/>
              </w:rPr>
            </w:pPr>
            <w:r w:rsidRPr="00FD61C1">
              <w:rPr>
                <w:rFonts w:ascii="宋体" w:hAnsi="宋体" w:cs="宋体" w:hint="eastAsia"/>
                <w:color w:val="000000"/>
                <w:kern w:val="0"/>
                <w:sz w:val="22"/>
                <w:szCs w:val="24"/>
              </w:rPr>
              <w:t>第</w:t>
            </w:r>
            <w:r>
              <w:rPr>
                <w:rFonts w:ascii="宋体" w:hAnsi="宋体" w:cs="宋体" w:hint="eastAsia"/>
                <w:color w:val="000000"/>
                <w:kern w:val="0"/>
                <w:sz w:val="22"/>
                <w:szCs w:val="24"/>
              </w:rPr>
              <w:t>六</w:t>
            </w:r>
            <w:r w:rsidRPr="00FD61C1">
              <w:rPr>
                <w:rFonts w:ascii="宋体" w:hAnsi="宋体" w:cs="宋体" w:hint="eastAsia"/>
                <w:color w:val="000000"/>
                <w:kern w:val="0"/>
                <w:sz w:val="22"/>
                <w:szCs w:val="24"/>
              </w:rPr>
              <w:t xml:space="preserve">条 </w:t>
            </w:r>
          </w:p>
        </w:tc>
        <w:tc>
          <w:tcPr>
            <w:tcW w:w="3932" w:type="dxa"/>
            <w:tcBorders>
              <w:top w:val="nil"/>
              <w:left w:val="nil"/>
              <w:bottom w:val="single" w:sz="4" w:space="0" w:color="auto"/>
              <w:right w:val="single" w:sz="4" w:space="0" w:color="auto"/>
            </w:tcBorders>
            <w:vAlign w:val="center"/>
            <w:hideMark/>
          </w:tcPr>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公司注册资本为人民币83,299.2573万元。</w:t>
            </w:r>
          </w:p>
        </w:tc>
        <w:tc>
          <w:tcPr>
            <w:tcW w:w="3932" w:type="dxa"/>
            <w:tcBorders>
              <w:top w:val="nil"/>
              <w:left w:val="nil"/>
              <w:bottom w:val="single" w:sz="4" w:space="0" w:color="auto"/>
              <w:right w:val="single" w:sz="8" w:space="0" w:color="auto"/>
            </w:tcBorders>
            <w:vAlign w:val="center"/>
            <w:hideMark/>
          </w:tcPr>
          <w:p w:rsidR="007A670C" w:rsidRPr="00B90039" w:rsidRDefault="007A670C" w:rsidP="006418E3">
            <w:pPr>
              <w:widowControl/>
              <w:ind w:firstLineChars="200" w:firstLine="442"/>
              <w:jc w:val="left"/>
              <w:rPr>
                <w:rFonts w:ascii="宋体" w:hAnsi="宋体" w:cs="宋体"/>
                <w:b/>
                <w:color w:val="000000"/>
                <w:kern w:val="0"/>
                <w:sz w:val="22"/>
                <w:szCs w:val="24"/>
              </w:rPr>
            </w:pPr>
            <w:r w:rsidRPr="00B90039">
              <w:rPr>
                <w:rFonts w:ascii="宋体" w:hAnsi="宋体" w:cs="宋体" w:hint="eastAsia"/>
                <w:b/>
                <w:color w:val="000000"/>
                <w:kern w:val="0"/>
                <w:sz w:val="22"/>
                <w:szCs w:val="24"/>
              </w:rPr>
              <w:t>公司注册资本为</w:t>
            </w:r>
            <w:r w:rsidRPr="00B90039">
              <w:rPr>
                <w:rFonts w:ascii="宋体" w:hAnsi="宋体" w:cs="宋体"/>
                <w:b/>
                <w:color w:val="000000"/>
                <w:kern w:val="0"/>
                <w:sz w:val="22"/>
                <w:szCs w:val="24"/>
              </w:rPr>
              <w:t>100</w:t>
            </w:r>
            <w:r w:rsidRPr="00B90039">
              <w:rPr>
                <w:rFonts w:ascii="宋体" w:hAnsi="宋体" w:cs="宋体" w:hint="eastAsia"/>
                <w:b/>
                <w:color w:val="000000"/>
                <w:kern w:val="0"/>
                <w:sz w:val="22"/>
                <w:szCs w:val="24"/>
              </w:rPr>
              <w:t>,</w:t>
            </w:r>
            <w:r w:rsidRPr="00B90039">
              <w:rPr>
                <w:rFonts w:ascii="宋体" w:hAnsi="宋体" w:cs="宋体"/>
                <w:b/>
                <w:color w:val="000000"/>
                <w:kern w:val="0"/>
                <w:sz w:val="22"/>
                <w:szCs w:val="24"/>
              </w:rPr>
              <w:t>731</w:t>
            </w:r>
            <w:r w:rsidRPr="00B90039">
              <w:rPr>
                <w:rFonts w:ascii="宋体" w:hAnsi="宋体" w:cs="宋体" w:hint="eastAsia"/>
                <w:b/>
                <w:color w:val="000000"/>
                <w:kern w:val="0"/>
                <w:sz w:val="22"/>
                <w:szCs w:val="24"/>
              </w:rPr>
              <w:t>.</w:t>
            </w:r>
            <w:r w:rsidRPr="00B90039">
              <w:rPr>
                <w:rFonts w:ascii="宋体" w:hAnsi="宋体" w:cs="宋体"/>
                <w:b/>
                <w:color w:val="000000"/>
                <w:kern w:val="0"/>
                <w:sz w:val="22"/>
                <w:szCs w:val="24"/>
              </w:rPr>
              <w:t>9037</w:t>
            </w:r>
            <w:r w:rsidRPr="00B90039">
              <w:rPr>
                <w:rFonts w:ascii="宋体" w:hAnsi="宋体" w:cs="宋体" w:hint="eastAsia"/>
                <w:b/>
                <w:color w:val="000000"/>
                <w:kern w:val="0"/>
                <w:sz w:val="22"/>
                <w:szCs w:val="24"/>
              </w:rPr>
              <w:t>万元人民币。</w:t>
            </w:r>
          </w:p>
        </w:tc>
      </w:tr>
      <w:tr w:rsidR="007A670C" w:rsidRPr="00FD61C1" w:rsidTr="006418E3">
        <w:trPr>
          <w:trHeight w:val="1155"/>
        </w:trPr>
        <w:tc>
          <w:tcPr>
            <w:tcW w:w="709" w:type="dxa"/>
            <w:tcBorders>
              <w:top w:val="nil"/>
              <w:left w:val="single" w:sz="8" w:space="0" w:color="auto"/>
              <w:bottom w:val="single" w:sz="4" w:space="0" w:color="auto"/>
              <w:right w:val="single" w:sz="4" w:space="0" w:color="auto"/>
            </w:tcBorders>
            <w:noWrap/>
            <w:vAlign w:val="center"/>
            <w:hideMark/>
          </w:tcPr>
          <w:p w:rsidR="007A670C" w:rsidRPr="00FD61C1" w:rsidRDefault="007A670C" w:rsidP="006418E3">
            <w:pPr>
              <w:widowControl/>
              <w:jc w:val="center"/>
              <w:rPr>
                <w:rFonts w:ascii="宋体" w:hAnsi="宋体" w:cs="宋体"/>
                <w:color w:val="000000"/>
                <w:kern w:val="0"/>
                <w:sz w:val="22"/>
                <w:szCs w:val="24"/>
              </w:rPr>
            </w:pPr>
            <w:r w:rsidRPr="00FD61C1">
              <w:rPr>
                <w:rFonts w:ascii="宋体" w:hAnsi="宋体" w:cs="宋体" w:hint="eastAsia"/>
                <w:color w:val="000000"/>
                <w:kern w:val="0"/>
                <w:sz w:val="22"/>
                <w:szCs w:val="24"/>
              </w:rPr>
              <w:t>3</w:t>
            </w:r>
          </w:p>
        </w:tc>
        <w:tc>
          <w:tcPr>
            <w:tcW w:w="1845" w:type="dxa"/>
            <w:tcBorders>
              <w:top w:val="nil"/>
              <w:left w:val="nil"/>
              <w:bottom w:val="single" w:sz="4" w:space="0" w:color="auto"/>
              <w:right w:val="single" w:sz="4" w:space="0" w:color="auto"/>
            </w:tcBorders>
            <w:noWrap/>
            <w:vAlign w:val="center"/>
            <w:hideMark/>
          </w:tcPr>
          <w:p w:rsidR="007A670C" w:rsidRPr="00FD61C1" w:rsidRDefault="007A670C" w:rsidP="006418E3">
            <w:pPr>
              <w:widowControl/>
              <w:jc w:val="left"/>
              <w:rPr>
                <w:rFonts w:ascii="宋体" w:hAnsi="宋体" w:cs="宋体"/>
                <w:color w:val="000000"/>
                <w:kern w:val="0"/>
                <w:sz w:val="22"/>
                <w:szCs w:val="24"/>
              </w:rPr>
            </w:pPr>
            <w:r w:rsidRPr="00FD61C1">
              <w:rPr>
                <w:rFonts w:ascii="宋体" w:hAnsi="宋体" w:cs="宋体" w:hint="eastAsia"/>
                <w:color w:val="000000"/>
                <w:kern w:val="0"/>
                <w:sz w:val="22"/>
                <w:szCs w:val="24"/>
              </w:rPr>
              <w:t>第十九条</w:t>
            </w:r>
          </w:p>
        </w:tc>
        <w:tc>
          <w:tcPr>
            <w:tcW w:w="3932" w:type="dxa"/>
            <w:tcBorders>
              <w:top w:val="nil"/>
              <w:left w:val="nil"/>
              <w:bottom w:val="single" w:sz="4" w:space="0" w:color="auto"/>
              <w:right w:val="single" w:sz="4" w:space="0" w:color="auto"/>
            </w:tcBorders>
            <w:vAlign w:val="center"/>
            <w:hideMark/>
          </w:tcPr>
          <w:p w:rsidR="007A670C" w:rsidRPr="00FD61C1" w:rsidRDefault="007A670C" w:rsidP="006418E3">
            <w:pPr>
              <w:widowControl/>
              <w:ind w:firstLineChars="200" w:firstLine="440"/>
              <w:jc w:val="left"/>
              <w:rPr>
                <w:rFonts w:ascii="宋体" w:hAnsi="宋体" w:cs="宋体"/>
                <w:color w:val="000000"/>
                <w:kern w:val="0"/>
                <w:sz w:val="22"/>
                <w:szCs w:val="24"/>
              </w:rPr>
            </w:pPr>
            <w:r w:rsidRPr="00FD61C1">
              <w:rPr>
                <w:rFonts w:ascii="宋体" w:hAnsi="宋体" w:cs="宋体" w:hint="eastAsia"/>
                <w:color w:val="000000"/>
                <w:kern w:val="0"/>
                <w:sz w:val="22"/>
                <w:szCs w:val="24"/>
              </w:rPr>
              <w:t>公司股份总数为83,299.2573万股,公司的股本结构为：普通股83,299.2573万股，无其他种类股。</w:t>
            </w:r>
          </w:p>
        </w:tc>
        <w:tc>
          <w:tcPr>
            <w:tcW w:w="3932" w:type="dxa"/>
            <w:tcBorders>
              <w:top w:val="nil"/>
              <w:left w:val="nil"/>
              <w:bottom w:val="single" w:sz="4" w:space="0" w:color="auto"/>
              <w:right w:val="single" w:sz="8" w:space="0" w:color="auto"/>
            </w:tcBorders>
            <w:vAlign w:val="center"/>
            <w:hideMark/>
          </w:tcPr>
          <w:p w:rsidR="007A670C" w:rsidRPr="00FD61C1" w:rsidRDefault="007A670C" w:rsidP="006418E3">
            <w:pPr>
              <w:widowControl/>
              <w:ind w:firstLineChars="200" w:firstLine="442"/>
              <w:jc w:val="left"/>
              <w:rPr>
                <w:rFonts w:ascii="宋体" w:hAnsi="宋体" w:cs="宋体"/>
                <w:color w:val="000000"/>
                <w:kern w:val="0"/>
                <w:sz w:val="22"/>
                <w:szCs w:val="24"/>
              </w:rPr>
            </w:pPr>
            <w:r w:rsidRPr="00B90039">
              <w:rPr>
                <w:rFonts w:ascii="宋体" w:hAnsi="宋体" w:cs="宋体" w:hint="eastAsia"/>
                <w:b/>
                <w:color w:val="000000"/>
                <w:kern w:val="0"/>
                <w:sz w:val="22"/>
                <w:szCs w:val="24"/>
              </w:rPr>
              <w:t>公司股份总数为</w:t>
            </w:r>
            <w:r w:rsidRPr="00B90039">
              <w:rPr>
                <w:rFonts w:ascii="宋体" w:hAnsi="宋体" w:cs="宋体"/>
                <w:b/>
                <w:color w:val="000000"/>
                <w:kern w:val="0"/>
                <w:sz w:val="22"/>
                <w:szCs w:val="24"/>
              </w:rPr>
              <w:t>100</w:t>
            </w:r>
            <w:r w:rsidRPr="00B90039">
              <w:rPr>
                <w:rFonts w:ascii="宋体" w:hAnsi="宋体" w:cs="宋体" w:hint="eastAsia"/>
                <w:b/>
                <w:color w:val="000000"/>
                <w:kern w:val="0"/>
                <w:sz w:val="22"/>
                <w:szCs w:val="24"/>
              </w:rPr>
              <w:t>,</w:t>
            </w:r>
            <w:r w:rsidRPr="00B90039">
              <w:rPr>
                <w:rFonts w:ascii="宋体" w:hAnsi="宋体" w:cs="宋体"/>
                <w:b/>
                <w:color w:val="000000"/>
                <w:kern w:val="0"/>
                <w:sz w:val="22"/>
                <w:szCs w:val="24"/>
              </w:rPr>
              <w:t>731</w:t>
            </w:r>
            <w:r w:rsidRPr="00B90039">
              <w:rPr>
                <w:rFonts w:ascii="宋体" w:hAnsi="宋体" w:cs="宋体" w:hint="eastAsia"/>
                <w:b/>
                <w:color w:val="000000"/>
                <w:kern w:val="0"/>
                <w:sz w:val="22"/>
                <w:szCs w:val="24"/>
              </w:rPr>
              <w:t>.</w:t>
            </w:r>
            <w:r w:rsidRPr="00B90039">
              <w:rPr>
                <w:rFonts w:ascii="宋体" w:hAnsi="宋体" w:cs="宋体"/>
                <w:b/>
                <w:color w:val="000000"/>
                <w:kern w:val="0"/>
                <w:sz w:val="22"/>
                <w:szCs w:val="24"/>
              </w:rPr>
              <w:t>9037</w:t>
            </w:r>
            <w:r w:rsidRPr="00B90039">
              <w:rPr>
                <w:rFonts w:ascii="宋体" w:hAnsi="宋体" w:cs="宋体" w:hint="eastAsia"/>
                <w:b/>
                <w:color w:val="000000"/>
                <w:kern w:val="0"/>
                <w:sz w:val="22"/>
                <w:szCs w:val="24"/>
              </w:rPr>
              <w:t>万股,公司的股本结构为：普通股</w:t>
            </w:r>
            <w:r w:rsidRPr="00B90039">
              <w:rPr>
                <w:rFonts w:ascii="宋体" w:hAnsi="宋体" w:cs="宋体"/>
                <w:b/>
                <w:color w:val="000000"/>
                <w:kern w:val="0"/>
                <w:sz w:val="22"/>
                <w:szCs w:val="24"/>
              </w:rPr>
              <w:t>100</w:t>
            </w:r>
            <w:r w:rsidRPr="00B90039">
              <w:rPr>
                <w:rFonts w:ascii="宋体" w:hAnsi="宋体" w:cs="宋体" w:hint="eastAsia"/>
                <w:b/>
                <w:color w:val="000000"/>
                <w:kern w:val="0"/>
                <w:sz w:val="22"/>
                <w:szCs w:val="24"/>
              </w:rPr>
              <w:t>,</w:t>
            </w:r>
            <w:r w:rsidRPr="00B90039">
              <w:rPr>
                <w:rFonts w:ascii="宋体" w:hAnsi="宋体" w:cs="宋体"/>
                <w:b/>
                <w:color w:val="000000"/>
                <w:kern w:val="0"/>
                <w:sz w:val="22"/>
                <w:szCs w:val="24"/>
              </w:rPr>
              <w:t>731</w:t>
            </w:r>
            <w:r w:rsidRPr="00B90039">
              <w:rPr>
                <w:rFonts w:ascii="宋体" w:hAnsi="宋体" w:cs="宋体" w:hint="eastAsia"/>
                <w:b/>
                <w:color w:val="000000"/>
                <w:kern w:val="0"/>
                <w:sz w:val="22"/>
                <w:szCs w:val="24"/>
              </w:rPr>
              <w:t>.</w:t>
            </w:r>
            <w:r w:rsidRPr="00B90039">
              <w:rPr>
                <w:rFonts w:ascii="宋体" w:hAnsi="宋体" w:cs="宋体"/>
                <w:b/>
                <w:color w:val="000000"/>
                <w:kern w:val="0"/>
                <w:sz w:val="22"/>
                <w:szCs w:val="24"/>
              </w:rPr>
              <w:t>9037</w:t>
            </w:r>
            <w:r w:rsidRPr="00B90039">
              <w:rPr>
                <w:rFonts w:ascii="宋体" w:hAnsi="宋体" w:cs="宋体" w:hint="eastAsia"/>
                <w:b/>
                <w:color w:val="000000"/>
                <w:kern w:val="0"/>
                <w:sz w:val="22"/>
                <w:szCs w:val="24"/>
              </w:rPr>
              <w:t>万股</w:t>
            </w:r>
            <w:r w:rsidRPr="004B65EF">
              <w:rPr>
                <w:rFonts w:ascii="宋体" w:hAnsi="宋体" w:cs="宋体" w:hint="eastAsia"/>
                <w:color w:val="000000"/>
                <w:kern w:val="0"/>
                <w:sz w:val="22"/>
                <w:szCs w:val="24"/>
              </w:rPr>
              <w:t>，无其他种类股。</w:t>
            </w:r>
          </w:p>
        </w:tc>
      </w:tr>
    </w:tbl>
    <w:p w:rsidR="007A670C" w:rsidRPr="00B123B7" w:rsidRDefault="007A670C" w:rsidP="007A670C">
      <w:pPr>
        <w:widowControl/>
        <w:rPr>
          <w:rFonts w:asciiTheme="minorEastAsia" w:hAnsiTheme="minorEastAsia"/>
          <w:sz w:val="24"/>
          <w:szCs w:val="24"/>
        </w:rPr>
      </w:pPr>
    </w:p>
    <w:p w:rsidR="007A670C" w:rsidRPr="006462C5" w:rsidRDefault="007A670C" w:rsidP="007A670C"/>
    <w:p w:rsidR="007A670C" w:rsidRPr="00FE720E" w:rsidRDefault="007A670C" w:rsidP="007A670C"/>
    <w:p w:rsidR="0060371E" w:rsidRPr="007A670C" w:rsidRDefault="0060371E"/>
    <w:sectPr w:rsidR="0060371E" w:rsidRPr="007A670C" w:rsidSect="00773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7F" w:rsidRDefault="00D1637F" w:rsidP="00BE4026">
      <w:r>
        <w:separator/>
      </w:r>
    </w:p>
  </w:endnote>
  <w:endnote w:type="continuationSeparator" w:id="0">
    <w:p w:rsidR="00D1637F" w:rsidRDefault="00D1637F" w:rsidP="00BE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7F" w:rsidRDefault="00D1637F" w:rsidP="00BE4026">
      <w:r>
        <w:separator/>
      </w:r>
    </w:p>
  </w:footnote>
  <w:footnote w:type="continuationSeparator" w:id="0">
    <w:p w:rsidR="00D1637F" w:rsidRDefault="00D1637F" w:rsidP="00BE4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4A"/>
    <w:rsid w:val="000A1B6A"/>
    <w:rsid w:val="00110CA2"/>
    <w:rsid w:val="00160828"/>
    <w:rsid w:val="00171561"/>
    <w:rsid w:val="00181BF3"/>
    <w:rsid w:val="001834CB"/>
    <w:rsid w:val="001B0717"/>
    <w:rsid w:val="00287EF9"/>
    <w:rsid w:val="003E3AAF"/>
    <w:rsid w:val="004311AF"/>
    <w:rsid w:val="004E7761"/>
    <w:rsid w:val="00532D81"/>
    <w:rsid w:val="00583371"/>
    <w:rsid w:val="005C6441"/>
    <w:rsid w:val="005D71D3"/>
    <w:rsid w:val="0060371E"/>
    <w:rsid w:val="00630782"/>
    <w:rsid w:val="00646320"/>
    <w:rsid w:val="00666BB4"/>
    <w:rsid w:val="00677B15"/>
    <w:rsid w:val="006822AB"/>
    <w:rsid w:val="007A670C"/>
    <w:rsid w:val="007F581C"/>
    <w:rsid w:val="00832685"/>
    <w:rsid w:val="00841BE8"/>
    <w:rsid w:val="00862A46"/>
    <w:rsid w:val="008C75BA"/>
    <w:rsid w:val="008E45E8"/>
    <w:rsid w:val="00915FE9"/>
    <w:rsid w:val="009B5F74"/>
    <w:rsid w:val="009D0419"/>
    <w:rsid w:val="00A22881"/>
    <w:rsid w:val="00AC591E"/>
    <w:rsid w:val="00BC07EA"/>
    <w:rsid w:val="00BE4026"/>
    <w:rsid w:val="00BF13AE"/>
    <w:rsid w:val="00C95CA0"/>
    <w:rsid w:val="00CF0030"/>
    <w:rsid w:val="00D1637F"/>
    <w:rsid w:val="00D7554A"/>
    <w:rsid w:val="00D77997"/>
    <w:rsid w:val="00D851B2"/>
    <w:rsid w:val="00DA360D"/>
    <w:rsid w:val="00DD3B8E"/>
    <w:rsid w:val="00E21F16"/>
    <w:rsid w:val="00E75B42"/>
    <w:rsid w:val="00EB5FED"/>
    <w:rsid w:val="00EC5178"/>
    <w:rsid w:val="00F01039"/>
    <w:rsid w:val="00F13EEC"/>
    <w:rsid w:val="00F54AEF"/>
    <w:rsid w:val="00F7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F16"/>
    <w:pPr>
      <w:ind w:firstLineChars="200" w:firstLine="420"/>
    </w:pPr>
  </w:style>
  <w:style w:type="paragraph" w:styleId="a4">
    <w:name w:val="header"/>
    <w:basedOn w:val="a"/>
    <w:link w:val="Char"/>
    <w:uiPriority w:val="99"/>
    <w:unhideWhenUsed/>
    <w:rsid w:val="00BE4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4026"/>
    <w:rPr>
      <w:rFonts w:ascii="Calibri" w:eastAsia="宋体" w:hAnsi="Calibri" w:cs="Times New Roman"/>
      <w:sz w:val="18"/>
      <w:szCs w:val="18"/>
    </w:rPr>
  </w:style>
  <w:style w:type="paragraph" w:styleId="a5">
    <w:name w:val="footer"/>
    <w:basedOn w:val="a"/>
    <w:link w:val="Char0"/>
    <w:uiPriority w:val="99"/>
    <w:unhideWhenUsed/>
    <w:rsid w:val="00BE4026"/>
    <w:pPr>
      <w:tabs>
        <w:tab w:val="center" w:pos="4153"/>
        <w:tab w:val="right" w:pos="8306"/>
      </w:tabs>
      <w:snapToGrid w:val="0"/>
      <w:jc w:val="left"/>
    </w:pPr>
    <w:rPr>
      <w:sz w:val="18"/>
      <w:szCs w:val="18"/>
    </w:rPr>
  </w:style>
  <w:style w:type="character" w:customStyle="1" w:styleId="Char0">
    <w:name w:val="页脚 Char"/>
    <w:basedOn w:val="a0"/>
    <w:link w:val="a5"/>
    <w:uiPriority w:val="99"/>
    <w:rsid w:val="00BE402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F16"/>
    <w:pPr>
      <w:ind w:firstLineChars="200" w:firstLine="420"/>
    </w:pPr>
  </w:style>
  <w:style w:type="paragraph" w:styleId="a4">
    <w:name w:val="header"/>
    <w:basedOn w:val="a"/>
    <w:link w:val="Char"/>
    <w:uiPriority w:val="99"/>
    <w:unhideWhenUsed/>
    <w:rsid w:val="00BE4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4026"/>
    <w:rPr>
      <w:rFonts w:ascii="Calibri" w:eastAsia="宋体" w:hAnsi="Calibri" w:cs="Times New Roman"/>
      <w:sz w:val="18"/>
      <w:szCs w:val="18"/>
    </w:rPr>
  </w:style>
  <w:style w:type="paragraph" w:styleId="a5">
    <w:name w:val="footer"/>
    <w:basedOn w:val="a"/>
    <w:link w:val="Char0"/>
    <w:uiPriority w:val="99"/>
    <w:unhideWhenUsed/>
    <w:rsid w:val="00BE4026"/>
    <w:pPr>
      <w:tabs>
        <w:tab w:val="center" w:pos="4153"/>
        <w:tab w:val="right" w:pos="8306"/>
      </w:tabs>
      <w:snapToGrid w:val="0"/>
      <w:jc w:val="left"/>
    </w:pPr>
    <w:rPr>
      <w:sz w:val="18"/>
      <w:szCs w:val="18"/>
    </w:rPr>
  </w:style>
  <w:style w:type="character" w:customStyle="1" w:styleId="Char0">
    <w:name w:val="页脚 Char"/>
    <w:basedOn w:val="a0"/>
    <w:link w:val="a5"/>
    <w:uiPriority w:val="99"/>
    <w:rsid w:val="00BE402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510</Words>
  <Characters>2908</Characters>
  <Application>Microsoft Office Word</Application>
  <DocSecurity>0</DocSecurity>
  <Lines>24</Lines>
  <Paragraphs>6</Paragraphs>
  <ScaleCrop>false</ScaleCrop>
  <Company>Lenovo</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17</cp:revision>
  <dcterms:created xsi:type="dcterms:W3CDTF">2017-04-10T06:22:00Z</dcterms:created>
  <dcterms:modified xsi:type="dcterms:W3CDTF">2017-04-24T02:14:00Z</dcterms:modified>
</cp:coreProperties>
</file>